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ayout w:type="fixed"/>
        <w:tblLook w:val="04A0" w:firstRow="1" w:lastRow="0" w:firstColumn="1" w:lastColumn="0" w:noHBand="0" w:noVBand="1"/>
      </w:tblPr>
      <w:tblGrid>
        <w:gridCol w:w="3652"/>
        <w:gridCol w:w="1134"/>
        <w:gridCol w:w="709"/>
        <w:gridCol w:w="3559"/>
      </w:tblGrid>
      <w:tr w:rsidR="007D52DD" w:rsidRPr="00080CCB" w:rsidTr="003A1D44">
        <w:trPr>
          <w:jc w:val="center"/>
        </w:trPr>
        <w:tc>
          <w:tcPr>
            <w:tcW w:w="9054" w:type="dxa"/>
            <w:gridSpan w:val="4"/>
            <w:shd w:val="clear" w:color="auto" w:fill="2F5496" w:themeFill="accent5" w:themeFillShade="BF"/>
            <w:vAlign w:val="center"/>
          </w:tcPr>
          <w:p w:rsidR="007D52DD" w:rsidRPr="00410A0A" w:rsidRDefault="007D52DD" w:rsidP="00DF3D8D">
            <w:pPr>
              <w:tabs>
                <w:tab w:val="left" w:pos="6765"/>
              </w:tabs>
              <w:spacing w:before="240" w:after="240"/>
              <w:jc w:val="center"/>
              <w:rPr>
                <w:rFonts w:asciiTheme="minorHAnsi" w:hAnsiTheme="minorHAnsi" w:cs="Arial"/>
                <w:color w:val="FFFFFF" w:themeColor="background1"/>
                <w:szCs w:val="22"/>
              </w:rPr>
            </w:pPr>
            <w:r w:rsidRPr="00410A0A">
              <w:rPr>
                <w:rFonts w:asciiTheme="minorHAnsi" w:eastAsiaTheme="minorHAnsi" w:hAnsiTheme="minorHAnsi" w:cs="Arial"/>
                <w:b/>
                <w:bCs/>
                <w:color w:val="FFFFFF" w:themeColor="background1"/>
                <w:szCs w:val="22"/>
                <w:lang w:val="es-EC"/>
              </w:rPr>
              <w:t>FICHA METODOLÓGICA</w:t>
            </w:r>
          </w:p>
        </w:tc>
      </w:tr>
      <w:tr w:rsidR="001E61E6" w:rsidRPr="00080CCB" w:rsidTr="003A1D44">
        <w:trPr>
          <w:jc w:val="center"/>
        </w:trPr>
        <w:tc>
          <w:tcPr>
            <w:tcW w:w="4786" w:type="dxa"/>
            <w:gridSpan w:val="2"/>
            <w:shd w:val="clear" w:color="auto" w:fill="DBE5F1"/>
            <w:vAlign w:val="center"/>
          </w:tcPr>
          <w:p w:rsidR="007D52DD" w:rsidRPr="00BB0EEC" w:rsidRDefault="00E05929" w:rsidP="009036BF">
            <w:pPr>
              <w:spacing w:before="60" w:after="60"/>
              <w:jc w:val="both"/>
              <w:rPr>
                <w:rFonts w:asciiTheme="minorHAnsi" w:hAnsiTheme="minorHAnsi" w:cs="Arial"/>
                <w:szCs w:val="22"/>
                <w:highlight w:val="cyan"/>
              </w:rPr>
            </w:pPr>
            <w:r w:rsidRPr="000B3A7F">
              <w:rPr>
                <w:rFonts w:asciiTheme="minorHAnsi" w:eastAsiaTheme="minorHAnsi" w:hAnsiTheme="minorHAnsi" w:cs="Arial"/>
                <w:b/>
                <w:bCs/>
                <w:color w:val="000000"/>
                <w:szCs w:val="22"/>
                <w:lang w:val="es-EC"/>
              </w:rPr>
              <w:t>1.</w:t>
            </w:r>
            <w:r w:rsidR="007D52DD" w:rsidRPr="000B3A7F">
              <w:rPr>
                <w:rFonts w:asciiTheme="minorHAnsi" w:eastAsiaTheme="minorHAnsi" w:hAnsiTheme="minorHAnsi" w:cs="Arial"/>
                <w:b/>
                <w:bCs/>
                <w:color w:val="000000"/>
                <w:szCs w:val="22"/>
                <w:lang w:val="es-EC"/>
              </w:rPr>
              <w:t>NOMBRE DEL INDICADOR</w:t>
            </w:r>
          </w:p>
        </w:tc>
        <w:tc>
          <w:tcPr>
            <w:tcW w:w="4268" w:type="dxa"/>
            <w:gridSpan w:val="2"/>
            <w:vAlign w:val="center"/>
          </w:tcPr>
          <w:p w:rsidR="007D52DD" w:rsidRPr="00BB0EEC" w:rsidRDefault="000B3A7F" w:rsidP="009036BF">
            <w:pPr>
              <w:ind w:left="360"/>
              <w:jc w:val="both"/>
              <w:rPr>
                <w:rFonts w:asciiTheme="minorHAnsi" w:hAnsiTheme="minorHAnsi" w:cs="Arial"/>
                <w:b/>
                <w:szCs w:val="22"/>
                <w:highlight w:val="cyan"/>
              </w:rPr>
            </w:pPr>
            <w:r w:rsidRPr="00546ACE">
              <w:rPr>
                <w:rFonts w:ascii="Century Gothic" w:hAnsi="Century Gothic"/>
                <w:b/>
                <w:sz w:val="18"/>
              </w:rPr>
              <w:t>III.1 Cuenta de capital</w:t>
            </w:r>
          </w:p>
        </w:tc>
      </w:tr>
      <w:tr w:rsidR="001C1D16" w:rsidRPr="00080CCB" w:rsidTr="003A1D44">
        <w:trPr>
          <w:jc w:val="center"/>
        </w:trPr>
        <w:tc>
          <w:tcPr>
            <w:tcW w:w="9054" w:type="dxa"/>
            <w:gridSpan w:val="4"/>
            <w:shd w:val="clear" w:color="auto" w:fill="DBE5F1"/>
            <w:vAlign w:val="center"/>
          </w:tcPr>
          <w:p w:rsidR="001C1D16"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2</w:t>
            </w:r>
            <w:r w:rsidR="00080CCB" w:rsidRPr="00410A0A">
              <w:rPr>
                <w:rFonts w:asciiTheme="minorHAnsi" w:eastAsiaTheme="minorHAnsi" w:hAnsiTheme="minorHAnsi" w:cs="Arial"/>
                <w:b/>
                <w:bCs/>
                <w:color w:val="000000"/>
                <w:szCs w:val="22"/>
                <w:lang w:val="es-EC"/>
              </w:rPr>
              <w:t xml:space="preserve">. </w:t>
            </w:r>
            <w:r w:rsidR="001C1D16" w:rsidRPr="00410A0A">
              <w:rPr>
                <w:rFonts w:asciiTheme="minorHAnsi" w:eastAsiaTheme="minorHAnsi" w:hAnsiTheme="minorHAnsi" w:cs="Arial"/>
                <w:b/>
                <w:bCs/>
                <w:color w:val="000000"/>
                <w:szCs w:val="22"/>
                <w:lang w:val="es-EC"/>
              </w:rPr>
              <w:t>DEFINICIÓN</w:t>
            </w:r>
          </w:p>
        </w:tc>
      </w:tr>
      <w:tr w:rsidR="001C1D16" w:rsidRPr="00080CCB" w:rsidTr="003A1D44">
        <w:trPr>
          <w:jc w:val="center"/>
        </w:trPr>
        <w:tc>
          <w:tcPr>
            <w:tcW w:w="9054" w:type="dxa"/>
            <w:gridSpan w:val="4"/>
            <w:shd w:val="clear" w:color="auto" w:fill="FFFFFF" w:themeFill="background1"/>
            <w:vAlign w:val="center"/>
          </w:tcPr>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lang w:val="es-EC"/>
              </w:rPr>
              <w:t>La cuenta de capital es la primera de las cuatro cuentas</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dedicadas a las variaciones de valor de los activos que</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 xml:space="preserve">poseen las unidades institucionales. </w:t>
            </w:r>
            <w:r w:rsidRPr="006E11AE">
              <w:rPr>
                <w:rFonts w:asciiTheme="minorHAnsi" w:eastAsiaTheme="minorHAnsi" w:hAnsiTheme="minorHAnsi" w:cs="Arial"/>
                <w:bCs/>
                <w:color w:val="000000"/>
                <w:szCs w:val="22"/>
                <w:shd w:val="clear" w:color="auto" w:fill="FFFFFF" w:themeFill="background1"/>
                <w:lang w:val="es-EC"/>
              </w:rPr>
              <w:t xml:space="preserve">Registra las transacciones de activos no financieros. </w:t>
            </w:r>
          </w:p>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shd w:val="clear" w:color="auto" w:fill="FFFFFF" w:themeFill="background1"/>
                <w:lang w:val="es-EC"/>
              </w:rPr>
              <w:t xml:space="preserve">La cuenta financiera registra las transacciones de los activos financieros y pasivos. Las cuentas de otras variaciones en el volumen de activos registran las variaciones tanto en el valor de activos no financieros como de los financieros que no son resultado ni de transacciones ni de variaciones de precios. </w:t>
            </w:r>
          </w:p>
          <w:p w:rsidR="001C1D16" w:rsidRPr="00410A0A" w:rsidRDefault="006E11AE" w:rsidP="006E11AE">
            <w:pPr>
              <w:spacing w:before="120" w:after="120"/>
              <w:jc w:val="both"/>
              <w:rPr>
                <w:rFonts w:asciiTheme="minorHAnsi" w:eastAsiaTheme="minorHAnsi" w:hAnsiTheme="minorHAnsi" w:cs="Arial"/>
                <w:b/>
                <w:bCs/>
                <w:color w:val="000000"/>
                <w:szCs w:val="22"/>
                <w:lang w:val="es-EC"/>
              </w:rPr>
            </w:pPr>
            <w:r w:rsidRPr="006E11AE">
              <w:rPr>
                <w:rFonts w:asciiTheme="minorHAnsi" w:eastAsiaTheme="minorHAnsi" w:hAnsiTheme="minorHAnsi" w:cs="Arial"/>
                <w:bCs/>
                <w:color w:val="000000"/>
                <w:szCs w:val="22"/>
                <w:shd w:val="clear" w:color="auto" w:fill="FFFFFF" w:themeFill="background1"/>
                <w:lang w:val="es-EC"/>
              </w:rPr>
              <w:t>Los efectos de las variaciones de precios se registran en la cuenta de revalorización. Estas cuatro cuentas permiten descomponer la variación del valor neto de una unidad o sector institucional, entre el comienzo y final del período contable, en sus elementos constitutivos, registrando todos los cambios de precios y de volumen de los activos, sean o no el resultado de transacciones</w:t>
            </w:r>
            <w:r w:rsidR="00A74FDC">
              <w:rPr>
                <w:rFonts w:asciiTheme="minorHAnsi" w:eastAsiaTheme="minorHAnsi" w:hAnsiTheme="minorHAnsi" w:cs="Arial"/>
                <w:bCs/>
                <w:color w:val="000000"/>
                <w:szCs w:val="22"/>
                <w:shd w:val="clear" w:color="auto" w:fill="FFFFFF" w:themeFill="background1"/>
                <w:lang w:val="es-EC"/>
              </w:rPr>
              <w:t>.</w:t>
            </w:r>
            <w:r w:rsidR="004D6B36">
              <w:rPr>
                <w:rFonts w:asciiTheme="minorHAnsi" w:eastAsiaTheme="minorHAnsi" w:hAnsiTheme="minorHAnsi" w:cs="Arial"/>
                <w:bCs/>
                <w:color w:val="000000"/>
                <w:szCs w:val="22"/>
                <w:shd w:val="clear" w:color="auto" w:fill="FFFFFF" w:themeFill="background1"/>
                <w:lang w:val="es-EC"/>
              </w:rPr>
              <w:t xml:space="preserve"> (SCN 2008, 10)</w:t>
            </w:r>
            <w:r w:rsidRPr="006E11AE">
              <w:rPr>
                <w:rFonts w:asciiTheme="minorHAnsi" w:eastAsiaTheme="minorHAnsi" w:hAnsiTheme="minorHAnsi" w:cs="Arial"/>
                <w:b/>
                <w:bCs/>
                <w:color w:val="000000"/>
                <w:szCs w:val="22"/>
                <w:lang w:val="es-EC"/>
              </w:rPr>
              <w:t xml:space="preserve"> </w:t>
            </w:r>
          </w:p>
        </w:tc>
      </w:tr>
      <w:tr w:rsidR="009C0A42" w:rsidRPr="00080CCB" w:rsidTr="003A1D44">
        <w:trPr>
          <w:jc w:val="center"/>
        </w:trPr>
        <w:tc>
          <w:tcPr>
            <w:tcW w:w="9054" w:type="dxa"/>
            <w:gridSpan w:val="4"/>
            <w:shd w:val="clear" w:color="auto" w:fill="DBE5F1"/>
            <w:vAlign w:val="center"/>
          </w:tcPr>
          <w:p w:rsidR="009C0A42"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3</w:t>
            </w:r>
            <w:r w:rsidR="00080CCB" w:rsidRPr="00410A0A">
              <w:rPr>
                <w:rFonts w:asciiTheme="minorHAnsi" w:eastAsiaTheme="minorHAnsi" w:hAnsiTheme="minorHAnsi" w:cs="Arial"/>
                <w:b/>
                <w:bCs/>
                <w:color w:val="000000"/>
                <w:szCs w:val="22"/>
                <w:lang w:val="es-EC"/>
              </w:rPr>
              <w:t xml:space="preserve">. </w:t>
            </w:r>
            <w:r w:rsidR="009C0A42" w:rsidRPr="00410A0A">
              <w:rPr>
                <w:rFonts w:asciiTheme="minorHAnsi" w:eastAsiaTheme="minorHAnsi" w:hAnsiTheme="minorHAnsi" w:cs="Arial"/>
                <w:b/>
                <w:bCs/>
                <w:color w:val="000000"/>
                <w:szCs w:val="22"/>
                <w:lang w:val="es-EC"/>
              </w:rPr>
              <w:t>ESTRUCTURA DE LA CUENTA</w:t>
            </w:r>
          </w:p>
        </w:tc>
      </w:tr>
      <w:tr w:rsidR="009C0A42" w:rsidRPr="00080CCB" w:rsidTr="003A1D44">
        <w:trPr>
          <w:jc w:val="center"/>
        </w:trPr>
        <w:tc>
          <w:tcPr>
            <w:tcW w:w="9054" w:type="dxa"/>
            <w:gridSpan w:val="4"/>
            <w:shd w:val="clear" w:color="auto" w:fill="auto"/>
            <w:vAlign w:val="center"/>
          </w:tcPr>
          <w:p w:rsidR="001B7317" w:rsidRDefault="001B7317"/>
          <w:tbl>
            <w:tblPr>
              <w:tblW w:w="5000" w:type="pct"/>
              <w:tblLayout w:type="fixed"/>
              <w:tblCellMar>
                <w:left w:w="70" w:type="dxa"/>
                <w:right w:w="70" w:type="dxa"/>
              </w:tblCellMar>
              <w:tblLook w:val="04A0" w:firstRow="1" w:lastRow="0" w:firstColumn="1" w:lastColumn="0" w:noHBand="0" w:noVBand="1"/>
            </w:tblPr>
            <w:tblGrid>
              <w:gridCol w:w="709"/>
              <w:gridCol w:w="3546"/>
              <w:gridCol w:w="834"/>
              <w:gridCol w:w="583"/>
              <w:gridCol w:w="2268"/>
              <w:gridCol w:w="898"/>
            </w:tblGrid>
            <w:tr w:rsidR="003A1D44" w:rsidRPr="003A1D44" w:rsidTr="003A1D44">
              <w:trPr>
                <w:trHeight w:val="300"/>
              </w:trPr>
              <w:tc>
                <w:tcPr>
                  <w:tcW w:w="5000" w:type="pct"/>
                  <w:gridSpan w:val="6"/>
                  <w:tcBorders>
                    <w:top w:val="nil"/>
                    <w:left w:val="nil"/>
                    <w:bottom w:val="single" w:sz="4" w:space="0" w:color="auto"/>
                    <w:right w:val="nil"/>
                  </w:tcBorders>
                  <w:shd w:val="clear" w:color="auto" w:fill="auto"/>
                  <w:noWrap/>
                  <w:vAlign w:val="bottom"/>
                  <w:hideMark/>
                </w:tcPr>
                <w:p w:rsidR="003A1D44" w:rsidRPr="003A1D44" w:rsidRDefault="003A1D44" w:rsidP="003A1D44">
                  <w:pPr>
                    <w:jc w:val="center"/>
                    <w:rPr>
                      <w:rFonts w:ascii="Calibri" w:hAnsi="Calibri"/>
                      <w:b/>
                      <w:bCs/>
                      <w:color w:val="000000"/>
                      <w:szCs w:val="22"/>
                      <w:lang w:val="es-EC" w:eastAsia="es-EC"/>
                    </w:rPr>
                  </w:pPr>
                  <w:r w:rsidRPr="003A1D44">
                    <w:rPr>
                      <w:rFonts w:ascii="Calibri" w:hAnsi="Calibri"/>
                      <w:b/>
                      <w:bCs/>
                      <w:color w:val="000000"/>
                      <w:sz w:val="22"/>
                      <w:szCs w:val="22"/>
                      <w:lang w:val="es-EC" w:eastAsia="es-EC"/>
                    </w:rPr>
                    <w:t>III.1 cuenta de capital</w:t>
                  </w:r>
                </w:p>
              </w:tc>
            </w:tr>
            <w:tr w:rsidR="003A1D44" w:rsidRPr="003A1D44" w:rsidTr="003A1D44">
              <w:trPr>
                <w:trHeight w:val="300"/>
              </w:trPr>
              <w:tc>
                <w:tcPr>
                  <w:tcW w:w="401" w:type="pct"/>
                  <w:tcBorders>
                    <w:top w:val="nil"/>
                    <w:left w:val="nil"/>
                    <w:bottom w:val="single" w:sz="4" w:space="0" w:color="auto"/>
                    <w:right w:val="nil"/>
                  </w:tcBorders>
                  <w:shd w:val="clear" w:color="auto" w:fill="auto"/>
                  <w:noWrap/>
                  <w:vAlign w:val="bottom"/>
                  <w:hideMark/>
                </w:tcPr>
                <w:p w:rsidR="003A1D44" w:rsidRPr="003A1D44" w:rsidRDefault="003A1D44" w:rsidP="003A1D44">
                  <w:pPr>
                    <w:jc w:val="center"/>
                    <w:rPr>
                      <w:rFonts w:ascii="Calibri" w:hAnsi="Calibri"/>
                      <w:color w:val="000000"/>
                      <w:sz w:val="18"/>
                      <w:szCs w:val="18"/>
                      <w:lang w:val="es-EC" w:eastAsia="es-EC"/>
                    </w:rPr>
                  </w:pPr>
                  <w:r w:rsidRPr="003A1D44">
                    <w:rPr>
                      <w:rFonts w:ascii="Calibri" w:hAnsi="Calibri"/>
                      <w:color w:val="000000"/>
                      <w:sz w:val="18"/>
                      <w:szCs w:val="18"/>
                      <w:lang w:val="es-EC" w:eastAsia="es-EC"/>
                    </w:rPr>
                    <w:t> </w:t>
                  </w:r>
                </w:p>
              </w:tc>
              <w:tc>
                <w:tcPr>
                  <w:tcW w:w="2006" w:type="pct"/>
                  <w:tcBorders>
                    <w:top w:val="nil"/>
                    <w:left w:val="nil"/>
                    <w:bottom w:val="single" w:sz="4" w:space="0" w:color="auto"/>
                    <w:right w:val="nil"/>
                  </w:tcBorders>
                  <w:shd w:val="clear" w:color="auto" w:fill="auto"/>
                  <w:noWrap/>
                  <w:vAlign w:val="bottom"/>
                  <w:hideMark/>
                </w:tcPr>
                <w:p w:rsidR="003A1D44" w:rsidRPr="003A1D44" w:rsidRDefault="003A1D44" w:rsidP="003A1D44">
                  <w:pPr>
                    <w:jc w:val="center"/>
                    <w:rPr>
                      <w:rFonts w:ascii="Calibri" w:hAnsi="Calibri"/>
                      <w:color w:val="000000"/>
                      <w:sz w:val="18"/>
                      <w:szCs w:val="18"/>
                      <w:lang w:val="es-EC" w:eastAsia="es-EC"/>
                    </w:rPr>
                  </w:pPr>
                  <w:r w:rsidRPr="003A1D44">
                    <w:rPr>
                      <w:rFonts w:ascii="Calibri" w:hAnsi="Calibri"/>
                      <w:color w:val="000000"/>
                      <w:sz w:val="18"/>
                      <w:szCs w:val="18"/>
                      <w:lang w:val="es-EC" w:eastAsia="es-EC"/>
                    </w:rPr>
                    <w:t>Empleos</w:t>
                  </w:r>
                </w:p>
              </w:tc>
              <w:tc>
                <w:tcPr>
                  <w:tcW w:w="472" w:type="pct"/>
                  <w:tcBorders>
                    <w:top w:val="nil"/>
                    <w:left w:val="nil"/>
                    <w:bottom w:val="single" w:sz="4" w:space="0" w:color="auto"/>
                    <w:right w:val="nil"/>
                  </w:tcBorders>
                  <w:shd w:val="clear" w:color="auto" w:fill="auto"/>
                  <w:noWrap/>
                  <w:vAlign w:val="bottom"/>
                  <w:hideMark/>
                </w:tcPr>
                <w:p w:rsidR="003A1D44" w:rsidRPr="003A1D44" w:rsidRDefault="003A1D44" w:rsidP="003A1D44">
                  <w:pPr>
                    <w:jc w:val="center"/>
                    <w:rPr>
                      <w:rFonts w:ascii="Calibri" w:hAnsi="Calibri"/>
                      <w:color w:val="000000"/>
                      <w:sz w:val="18"/>
                      <w:szCs w:val="18"/>
                      <w:lang w:val="es-EC" w:eastAsia="es-EC"/>
                    </w:rPr>
                  </w:pPr>
                  <w:r w:rsidRPr="003A1D44">
                    <w:rPr>
                      <w:rFonts w:ascii="Calibri" w:hAnsi="Calibri"/>
                      <w:color w:val="000000"/>
                      <w:sz w:val="18"/>
                      <w:szCs w:val="18"/>
                      <w:lang w:val="es-EC" w:eastAsia="es-EC"/>
                    </w:rPr>
                    <w:t>Total</w:t>
                  </w:r>
                </w:p>
              </w:tc>
              <w:tc>
                <w:tcPr>
                  <w:tcW w:w="330" w:type="pct"/>
                  <w:tcBorders>
                    <w:top w:val="nil"/>
                    <w:left w:val="nil"/>
                    <w:bottom w:val="single" w:sz="4" w:space="0" w:color="auto"/>
                    <w:right w:val="nil"/>
                  </w:tcBorders>
                  <w:shd w:val="clear" w:color="auto" w:fill="auto"/>
                  <w:noWrap/>
                  <w:vAlign w:val="bottom"/>
                  <w:hideMark/>
                </w:tcPr>
                <w:p w:rsidR="003A1D44" w:rsidRPr="003A1D44" w:rsidRDefault="003A1D44" w:rsidP="003A1D44">
                  <w:pPr>
                    <w:jc w:val="center"/>
                    <w:rPr>
                      <w:rFonts w:ascii="Calibri" w:hAnsi="Calibri"/>
                      <w:color w:val="000000"/>
                      <w:sz w:val="18"/>
                      <w:szCs w:val="18"/>
                      <w:lang w:val="es-EC" w:eastAsia="es-EC"/>
                    </w:rPr>
                  </w:pPr>
                  <w:r w:rsidRPr="003A1D44">
                    <w:rPr>
                      <w:rFonts w:ascii="Calibri" w:hAnsi="Calibri"/>
                      <w:color w:val="000000"/>
                      <w:sz w:val="18"/>
                      <w:szCs w:val="18"/>
                      <w:lang w:val="es-EC" w:eastAsia="es-EC"/>
                    </w:rPr>
                    <w:t> </w:t>
                  </w:r>
                </w:p>
              </w:tc>
              <w:tc>
                <w:tcPr>
                  <w:tcW w:w="1283" w:type="pct"/>
                  <w:tcBorders>
                    <w:top w:val="nil"/>
                    <w:left w:val="nil"/>
                    <w:bottom w:val="single" w:sz="4" w:space="0" w:color="auto"/>
                    <w:right w:val="nil"/>
                  </w:tcBorders>
                  <w:shd w:val="clear" w:color="auto" w:fill="auto"/>
                  <w:noWrap/>
                  <w:vAlign w:val="bottom"/>
                  <w:hideMark/>
                </w:tcPr>
                <w:p w:rsidR="003A1D44" w:rsidRPr="003A1D44" w:rsidRDefault="003A1D44" w:rsidP="003A1D44">
                  <w:pPr>
                    <w:jc w:val="center"/>
                    <w:rPr>
                      <w:rFonts w:ascii="Calibri" w:hAnsi="Calibri"/>
                      <w:color w:val="000000"/>
                      <w:sz w:val="18"/>
                      <w:szCs w:val="18"/>
                      <w:lang w:val="es-EC" w:eastAsia="es-EC"/>
                    </w:rPr>
                  </w:pPr>
                  <w:r w:rsidRPr="003A1D44">
                    <w:rPr>
                      <w:rFonts w:ascii="Calibri" w:hAnsi="Calibri"/>
                      <w:color w:val="000000"/>
                      <w:sz w:val="18"/>
                      <w:szCs w:val="18"/>
                      <w:lang w:val="es-EC" w:eastAsia="es-EC"/>
                    </w:rPr>
                    <w:t>Recursos</w:t>
                  </w:r>
                </w:p>
              </w:tc>
              <w:tc>
                <w:tcPr>
                  <w:tcW w:w="509" w:type="pct"/>
                  <w:tcBorders>
                    <w:top w:val="nil"/>
                    <w:left w:val="nil"/>
                    <w:bottom w:val="single" w:sz="4" w:space="0" w:color="auto"/>
                    <w:right w:val="nil"/>
                  </w:tcBorders>
                  <w:shd w:val="clear" w:color="auto" w:fill="auto"/>
                  <w:noWrap/>
                  <w:vAlign w:val="bottom"/>
                  <w:hideMark/>
                </w:tcPr>
                <w:p w:rsidR="003A1D44" w:rsidRPr="003A1D44" w:rsidRDefault="003A1D44" w:rsidP="003A1D44">
                  <w:pPr>
                    <w:jc w:val="center"/>
                    <w:rPr>
                      <w:rFonts w:ascii="Calibri" w:hAnsi="Calibri"/>
                      <w:color w:val="000000"/>
                      <w:sz w:val="18"/>
                      <w:szCs w:val="18"/>
                      <w:lang w:val="es-EC" w:eastAsia="es-EC"/>
                    </w:rPr>
                  </w:pPr>
                  <w:r w:rsidRPr="003A1D44">
                    <w:rPr>
                      <w:rFonts w:ascii="Calibri" w:hAnsi="Calibri"/>
                      <w:color w:val="000000"/>
                      <w:sz w:val="18"/>
                      <w:szCs w:val="18"/>
                      <w:lang w:val="es-EC" w:eastAsia="es-EC"/>
                    </w:rPr>
                    <w:t>Total</w:t>
                  </w:r>
                </w:p>
              </w:tc>
            </w:tr>
            <w:tr w:rsidR="003A1D44" w:rsidRPr="003A1D44" w:rsidTr="003A1D44">
              <w:trPr>
                <w:trHeight w:val="300"/>
              </w:trPr>
              <w:tc>
                <w:tcPr>
                  <w:tcW w:w="401"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color w:val="000000"/>
                      <w:sz w:val="18"/>
                      <w:szCs w:val="18"/>
                      <w:lang w:val="es-EC" w:eastAsia="es-EC"/>
                    </w:rPr>
                  </w:pPr>
                  <w:r w:rsidRPr="003A1D44">
                    <w:rPr>
                      <w:rFonts w:ascii="Calibri" w:hAnsi="Calibri"/>
                      <w:b/>
                      <w:bCs/>
                      <w:color w:val="000000"/>
                      <w:sz w:val="18"/>
                      <w:szCs w:val="18"/>
                      <w:lang w:val="es-EC" w:eastAsia="es-EC"/>
                    </w:rPr>
                    <w:t xml:space="preserve">P.51b </w:t>
                  </w:r>
                </w:p>
              </w:tc>
              <w:tc>
                <w:tcPr>
                  <w:tcW w:w="2006"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Formación bruta de capital fijo</w:t>
                  </w:r>
                </w:p>
              </w:tc>
              <w:tc>
                <w:tcPr>
                  <w:tcW w:w="472" w:type="pct"/>
                  <w:tcBorders>
                    <w:top w:val="nil"/>
                    <w:left w:val="nil"/>
                    <w:bottom w:val="nil"/>
                    <w:right w:val="single" w:sz="4" w:space="0" w:color="auto"/>
                  </w:tcBorders>
                  <w:shd w:val="clear" w:color="auto" w:fill="auto"/>
                  <w:noWrap/>
                  <w:vAlign w:val="bottom"/>
                  <w:hideMark/>
                </w:tcPr>
                <w:p w:rsidR="003A1D44" w:rsidRPr="003A1D44" w:rsidRDefault="003A1D44" w:rsidP="003A1D44">
                  <w:pPr>
                    <w:jc w:val="right"/>
                    <w:rPr>
                      <w:rFonts w:ascii="Calibri" w:hAnsi="Calibri"/>
                      <w:color w:val="000000"/>
                      <w:sz w:val="18"/>
                      <w:szCs w:val="18"/>
                      <w:lang w:val="es-EC" w:eastAsia="es-EC"/>
                    </w:rPr>
                  </w:pPr>
                  <w:r w:rsidRPr="003A1D44">
                    <w:rPr>
                      <w:rFonts w:ascii="Calibri" w:hAnsi="Calibri"/>
                      <w:color w:val="000000"/>
                      <w:sz w:val="18"/>
                      <w:szCs w:val="18"/>
                      <w:lang w:val="es-EC" w:eastAsia="es-EC"/>
                    </w:rPr>
                    <w:t>0</w:t>
                  </w:r>
                </w:p>
              </w:tc>
              <w:tc>
                <w:tcPr>
                  <w:tcW w:w="330"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sz w:val="18"/>
                      <w:szCs w:val="18"/>
                      <w:lang w:val="es-EC" w:eastAsia="es-EC"/>
                    </w:rPr>
                  </w:pPr>
                  <w:r w:rsidRPr="003A1D44">
                    <w:rPr>
                      <w:rFonts w:ascii="Calibri" w:hAnsi="Calibri"/>
                      <w:b/>
                      <w:bCs/>
                      <w:sz w:val="18"/>
                      <w:szCs w:val="18"/>
                      <w:lang w:val="es-EC" w:eastAsia="es-EC"/>
                    </w:rPr>
                    <w:t>B.8n</w:t>
                  </w:r>
                </w:p>
              </w:tc>
              <w:tc>
                <w:tcPr>
                  <w:tcW w:w="1283"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sz w:val="18"/>
                      <w:szCs w:val="18"/>
                      <w:lang w:val="es-EC" w:eastAsia="es-EC"/>
                    </w:rPr>
                  </w:pPr>
                  <w:r w:rsidRPr="003A1D44">
                    <w:rPr>
                      <w:rFonts w:ascii="Calibri" w:hAnsi="Calibri"/>
                      <w:b/>
                      <w:bCs/>
                      <w:sz w:val="18"/>
                      <w:szCs w:val="18"/>
                      <w:lang w:val="es-EC" w:eastAsia="es-EC"/>
                    </w:rPr>
                    <w:t>Ahorro neto</w:t>
                  </w:r>
                </w:p>
              </w:tc>
              <w:tc>
                <w:tcPr>
                  <w:tcW w:w="509" w:type="pct"/>
                  <w:tcBorders>
                    <w:top w:val="nil"/>
                    <w:left w:val="nil"/>
                    <w:bottom w:val="nil"/>
                    <w:right w:val="nil"/>
                  </w:tcBorders>
                  <w:shd w:val="clear" w:color="auto" w:fill="auto"/>
                  <w:noWrap/>
                  <w:vAlign w:val="bottom"/>
                  <w:hideMark/>
                </w:tcPr>
                <w:p w:rsidR="003A1D44" w:rsidRPr="003A1D44" w:rsidRDefault="003A1D44" w:rsidP="003A1D44">
                  <w:pPr>
                    <w:jc w:val="right"/>
                    <w:rPr>
                      <w:rFonts w:ascii="Calibri" w:hAnsi="Calibri"/>
                      <w:color w:val="000000"/>
                      <w:sz w:val="18"/>
                      <w:szCs w:val="18"/>
                      <w:lang w:val="es-EC" w:eastAsia="es-EC"/>
                    </w:rPr>
                  </w:pPr>
                  <w:r w:rsidRPr="003A1D44">
                    <w:rPr>
                      <w:rFonts w:ascii="Calibri" w:hAnsi="Calibri"/>
                      <w:color w:val="000000"/>
                      <w:sz w:val="18"/>
                      <w:szCs w:val="18"/>
                      <w:lang w:val="es-EC" w:eastAsia="es-EC"/>
                    </w:rPr>
                    <w:t>11.609</w:t>
                  </w:r>
                </w:p>
              </w:tc>
            </w:tr>
            <w:tr w:rsidR="003A1D44" w:rsidRPr="003A1D44" w:rsidTr="003A1D44">
              <w:trPr>
                <w:trHeight w:val="300"/>
              </w:trPr>
              <w:tc>
                <w:tcPr>
                  <w:tcW w:w="401"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color w:val="000000"/>
                      <w:sz w:val="18"/>
                      <w:szCs w:val="18"/>
                      <w:lang w:val="es-EC" w:eastAsia="es-EC"/>
                    </w:rPr>
                  </w:pPr>
                  <w:r w:rsidRPr="003A1D44">
                    <w:rPr>
                      <w:rFonts w:ascii="Calibri" w:hAnsi="Calibri"/>
                      <w:b/>
                      <w:bCs/>
                      <w:color w:val="000000"/>
                      <w:sz w:val="18"/>
                      <w:szCs w:val="18"/>
                      <w:lang w:val="es-EC" w:eastAsia="es-EC"/>
                    </w:rPr>
                    <w:t xml:space="preserve">P.51c </w:t>
                  </w:r>
                </w:p>
              </w:tc>
              <w:tc>
                <w:tcPr>
                  <w:tcW w:w="2006"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Consumo de capital fijo (-)</w:t>
                  </w:r>
                </w:p>
              </w:tc>
              <w:tc>
                <w:tcPr>
                  <w:tcW w:w="472" w:type="pct"/>
                  <w:tcBorders>
                    <w:top w:val="nil"/>
                    <w:left w:val="nil"/>
                    <w:bottom w:val="nil"/>
                    <w:right w:val="single" w:sz="4" w:space="0" w:color="auto"/>
                  </w:tcBorders>
                  <w:shd w:val="clear" w:color="auto" w:fill="auto"/>
                  <w:noWrap/>
                  <w:vAlign w:val="bottom"/>
                  <w:hideMark/>
                </w:tcPr>
                <w:p w:rsidR="003A1D44" w:rsidRPr="003A1D44" w:rsidRDefault="003A1D44" w:rsidP="003A1D44">
                  <w:pPr>
                    <w:jc w:val="right"/>
                    <w:rPr>
                      <w:rFonts w:ascii="Calibri" w:hAnsi="Calibri"/>
                      <w:color w:val="000000"/>
                      <w:sz w:val="18"/>
                      <w:szCs w:val="18"/>
                      <w:lang w:val="es-EC" w:eastAsia="es-EC"/>
                    </w:rPr>
                  </w:pPr>
                  <w:r w:rsidRPr="003A1D44">
                    <w:rPr>
                      <w:rFonts w:ascii="Calibri" w:hAnsi="Calibri"/>
                      <w:color w:val="000000"/>
                      <w:sz w:val="18"/>
                      <w:szCs w:val="18"/>
                      <w:lang w:val="es-EC" w:eastAsia="es-EC"/>
                    </w:rPr>
                    <w:t>765</w:t>
                  </w:r>
                </w:p>
              </w:tc>
              <w:tc>
                <w:tcPr>
                  <w:tcW w:w="330"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sz w:val="18"/>
                      <w:szCs w:val="18"/>
                      <w:lang w:val="es-EC" w:eastAsia="es-EC"/>
                    </w:rPr>
                  </w:pPr>
                  <w:r w:rsidRPr="003A1D44">
                    <w:rPr>
                      <w:rFonts w:ascii="Calibri" w:hAnsi="Calibri"/>
                      <w:sz w:val="18"/>
                      <w:szCs w:val="18"/>
                      <w:lang w:val="es-EC" w:eastAsia="es-EC"/>
                    </w:rPr>
                    <w:t xml:space="preserve">D.9r </w:t>
                  </w:r>
                </w:p>
              </w:tc>
              <w:tc>
                <w:tcPr>
                  <w:tcW w:w="1283"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sz w:val="18"/>
                      <w:szCs w:val="18"/>
                      <w:lang w:val="es-EC" w:eastAsia="es-EC"/>
                    </w:rPr>
                  </w:pPr>
                  <w:r w:rsidRPr="003A1D44">
                    <w:rPr>
                      <w:rFonts w:ascii="Calibri" w:hAnsi="Calibri"/>
                      <w:sz w:val="18"/>
                      <w:szCs w:val="18"/>
                      <w:lang w:val="es-EC" w:eastAsia="es-EC"/>
                    </w:rPr>
                    <w:t>Transferencias de capital recibidas</w:t>
                  </w:r>
                </w:p>
              </w:tc>
              <w:tc>
                <w:tcPr>
                  <w:tcW w:w="509" w:type="pct"/>
                  <w:tcBorders>
                    <w:top w:val="nil"/>
                    <w:left w:val="nil"/>
                    <w:bottom w:val="nil"/>
                    <w:right w:val="nil"/>
                  </w:tcBorders>
                  <w:shd w:val="clear" w:color="auto" w:fill="auto"/>
                  <w:noWrap/>
                  <w:vAlign w:val="bottom"/>
                  <w:hideMark/>
                </w:tcPr>
                <w:p w:rsidR="003A1D44" w:rsidRPr="003A1D44" w:rsidRDefault="003A1D44" w:rsidP="003A1D44">
                  <w:pPr>
                    <w:jc w:val="right"/>
                    <w:rPr>
                      <w:rFonts w:ascii="Calibri" w:hAnsi="Calibri"/>
                      <w:color w:val="000000"/>
                      <w:sz w:val="18"/>
                      <w:szCs w:val="18"/>
                      <w:lang w:val="es-EC" w:eastAsia="es-EC"/>
                    </w:rPr>
                  </w:pPr>
                  <w:r w:rsidRPr="003A1D44">
                    <w:rPr>
                      <w:rFonts w:ascii="Calibri" w:hAnsi="Calibri"/>
                      <w:color w:val="000000"/>
                      <w:sz w:val="18"/>
                      <w:szCs w:val="18"/>
                      <w:lang w:val="es-EC" w:eastAsia="es-EC"/>
                    </w:rPr>
                    <w:t>0</w:t>
                  </w:r>
                </w:p>
              </w:tc>
            </w:tr>
            <w:tr w:rsidR="003A1D44" w:rsidRPr="003A1D44" w:rsidTr="003A1D44">
              <w:trPr>
                <w:trHeight w:val="300"/>
              </w:trPr>
              <w:tc>
                <w:tcPr>
                  <w:tcW w:w="401"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color w:val="000000"/>
                      <w:sz w:val="18"/>
                      <w:szCs w:val="18"/>
                      <w:lang w:val="es-EC" w:eastAsia="es-EC"/>
                    </w:rPr>
                  </w:pPr>
                  <w:r w:rsidRPr="003A1D44">
                    <w:rPr>
                      <w:rFonts w:ascii="Calibri" w:hAnsi="Calibri"/>
                      <w:b/>
                      <w:bCs/>
                      <w:color w:val="000000"/>
                      <w:sz w:val="18"/>
                      <w:szCs w:val="18"/>
                      <w:lang w:val="es-EC" w:eastAsia="es-EC"/>
                    </w:rPr>
                    <w:t>P.52</w:t>
                  </w:r>
                </w:p>
              </w:tc>
              <w:tc>
                <w:tcPr>
                  <w:tcW w:w="2006"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Variaciones de existencias</w:t>
                  </w:r>
                </w:p>
              </w:tc>
              <w:tc>
                <w:tcPr>
                  <w:tcW w:w="472" w:type="pct"/>
                  <w:tcBorders>
                    <w:top w:val="nil"/>
                    <w:left w:val="nil"/>
                    <w:bottom w:val="nil"/>
                    <w:right w:val="single" w:sz="4" w:space="0" w:color="auto"/>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 </w:t>
                  </w:r>
                </w:p>
              </w:tc>
              <w:tc>
                <w:tcPr>
                  <w:tcW w:w="330"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sz w:val="18"/>
                      <w:szCs w:val="18"/>
                      <w:lang w:val="es-EC" w:eastAsia="es-EC"/>
                    </w:rPr>
                  </w:pPr>
                  <w:r w:rsidRPr="003A1D44">
                    <w:rPr>
                      <w:rFonts w:ascii="Calibri" w:hAnsi="Calibri"/>
                      <w:sz w:val="18"/>
                      <w:szCs w:val="18"/>
                      <w:lang w:val="es-EC" w:eastAsia="es-EC"/>
                    </w:rPr>
                    <w:t xml:space="preserve">D.9p </w:t>
                  </w:r>
                </w:p>
              </w:tc>
              <w:tc>
                <w:tcPr>
                  <w:tcW w:w="1283"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sz w:val="18"/>
                      <w:szCs w:val="18"/>
                      <w:lang w:val="es-EC" w:eastAsia="es-EC"/>
                    </w:rPr>
                  </w:pPr>
                  <w:r w:rsidRPr="003A1D44">
                    <w:rPr>
                      <w:rFonts w:ascii="Calibri" w:hAnsi="Calibri"/>
                      <w:sz w:val="18"/>
                      <w:szCs w:val="18"/>
                      <w:lang w:val="es-EC" w:eastAsia="es-EC"/>
                    </w:rPr>
                    <w:t>Transferencias de capital pagadas (-)</w:t>
                  </w:r>
                </w:p>
              </w:tc>
              <w:tc>
                <w:tcPr>
                  <w:tcW w:w="509" w:type="pct"/>
                  <w:tcBorders>
                    <w:top w:val="nil"/>
                    <w:left w:val="nil"/>
                    <w:bottom w:val="nil"/>
                    <w:right w:val="nil"/>
                  </w:tcBorders>
                  <w:shd w:val="clear" w:color="auto" w:fill="auto"/>
                  <w:noWrap/>
                  <w:vAlign w:val="bottom"/>
                  <w:hideMark/>
                </w:tcPr>
                <w:p w:rsidR="003A1D44" w:rsidRPr="003A1D44" w:rsidRDefault="003A1D44" w:rsidP="003A1D44">
                  <w:pPr>
                    <w:jc w:val="right"/>
                    <w:rPr>
                      <w:rFonts w:ascii="Calibri" w:hAnsi="Calibri"/>
                      <w:color w:val="000000"/>
                      <w:sz w:val="18"/>
                      <w:szCs w:val="18"/>
                      <w:lang w:val="es-EC" w:eastAsia="es-EC"/>
                    </w:rPr>
                  </w:pPr>
                  <w:r w:rsidRPr="003A1D44">
                    <w:rPr>
                      <w:rFonts w:ascii="Calibri" w:hAnsi="Calibri"/>
                      <w:color w:val="000000"/>
                      <w:sz w:val="18"/>
                      <w:szCs w:val="18"/>
                      <w:lang w:val="es-EC" w:eastAsia="es-EC"/>
                    </w:rPr>
                    <w:t>0</w:t>
                  </w:r>
                </w:p>
              </w:tc>
            </w:tr>
            <w:tr w:rsidR="003A1D44" w:rsidRPr="003A1D44" w:rsidTr="003A1D44">
              <w:trPr>
                <w:trHeight w:val="300"/>
              </w:trPr>
              <w:tc>
                <w:tcPr>
                  <w:tcW w:w="401"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color w:val="000000"/>
                      <w:sz w:val="18"/>
                      <w:szCs w:val="18"/>
                      <w:lang w:val="es-EC" w:eastAsia="es-EC"/>
                    </w:rPr>
                  </w:pPr>
                  <w:r w:rsidRPr="003A1D44">
                    <w:rPr>
                      <w:rFonts w:ascii="Calibri" w:hAnsi="Calibri"/>
                      <w:b/>
                      <w:bCs/>
                      <w:color w:val="000000"/>
                      <w:sz w:val="18"/>
                      <w:szCs w:val="18"/>
                      <w:lang w:val="es-EC" w:eastAsia="es-EC"/>
                    </w:rPr>
                    <w:t xml:space="preserve">P.53 </w:t>
                  </w:r>
                </w:p>
              </w:tc>
              <w:tc>
                <w:tcPr>
                  <w:tcW w:w="2006"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Adquisiciones menos disposiciones de objetos valiosos</w:t>
                  </w:r>
                </w:p>
              </w:tc>
              <w:tc>
                <w:tcPr>
                  <w:tcW w:w="472" w:type="pct"/>
                  <w:tcBorders>
                    <w:top w:val="nil"/>
                    <w:left w:val="nil"/>
                    <w:bottom w:val="nil"/>
                    <w:right w:val="single" w:sz="4" w:space="0" w:color="auto"/>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 </w:t>
                  </w:r>
                </w:p>
              </w:tc>
              <w:tc>
                <w:tcPr>
                  <w:tcW w:w="330"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c>
                <w:tcPr>
                  <w:tcW w:w="1283"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c>
                <w:tcPr>
                  <w:tcW w:w="509"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r>
            <w:tr w:rsidR="003A1D44" w:rsidRPr="003A1D44" w:rsidTr="003A1D44">
              <w:trPr>
                <w:trHeight w:val="600"/>
              </w:trPr>
              <w:tc>
                <w:tcPr>
                  <w:tcW w:w="401" w:type="pct"/>
                  <w:tcBorders>
                    <w:top w:val="nil"/>
                    <w:left w:val="nil"/>
                    <w:bottom w:val="nil"/>
                    <w:right w:val="nil"/>
                  </w:tcBorders>
                  <w:shd w:val="clear" w:color="auto" w:fill="auto"/>
                  <w:noWrap/>
                  <w:hideMark/>
                </w:tcPr>
                <w:p w:rsidR="003A1D44" w:rsidRPr="003A1D44" w:rsidRDefault="003A1D44" w:rsidP="003A1D44">
                  <w:pPr>
                    <w:rPr>
                      <w:rFonts w:ascii="Calibri" w:hAnsi="Calibri"/>
                      <w:b/>
                      <w:bCs/>
                      <w:sz w:val="18"/>
                      <w:szCs w:val="18"/>
                      <w:lang w:val="es-EC" w:eastAsia="es-EC"/>
                    </w:rPr>
                  </w:pPr>
                  <w:r w:rsidRPr="003A1D44">
                    <w:rPr>
                      <w:rFonts w:ascii="Calibri" w:hAnsi="Calibri"/>
                      <w:b/>
                      <w:bCs/>
                      <w:sz w:val="18"/>
                      <w:szCs w:val="18"/>
                      <w:lang w:val="es-EC" w:eastAsia="es-EC"/>
                    </w:rPr>
                    <w:t>NP</w:t>
                  </w:r>
                </w:p>
              </w:tc>
              <w:tc>
                <w:tcPr>
                  <w:tcW w:w="2006" w:type="pct"/>
                  <w:tcBorders>
                    <w:top w:val="nil"/>
                    <w:left w:val="nil"/>
                    <w:bottom w:val="nil"/>
                    <w:right w:val="nil"/>
                  </w:tcBorders>
                  <w:shd w:val="clear" w:color="auto" w:fill="auto"/>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Adquisición menos disposiciones de activos no financieros no producidos</w:t>
                  </w:r>
                </w:p>
              </w:tc>
              <w:tc>
                <w:tcPr>
                  <w:tcW w:w="472" w:type="pct"/>
                  <w:tcBorders>
                    <w:top w:val="nil"/>
                    <w:left w:val="nil"/>
                    <w:bottom w:val="nil"/>
                    <w:right w:val="single" w:sz="4" w:space="0" w:color="auto"/>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r w:rsidRPr="003A1D44">
                    <w:rPr>
                      <w:rFonts w:ascii="Calibri" w:hAnsi="Calibri"/>
                      <w:color w:val="000000"/>
                      <w:sz w:val="18"/>
                      <w:szCs w:val="18"/>
                      <w:lang w:val="es-EC" w:eastAsia="es-EC"/>
                    </w:rPr>
                    <w:t> </w:t>
                  </w:r>
                </w:p>
              </w:tc>
              <w:tc>
                <w:tcPr>
                  <w:tcW w:w="330"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c>
                <w:tcPr>
                  <w:tcW w:w="1283"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c>
                <w:tcPr>
                  <w:tcW w:w="509"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r>
            <w:tr w:rsidR="003A1D44" w:rsidRPr="003A1D44" w:rsidTr="003A1D44">
              <w:trPr>
                <w:trHeight w:val="300"/>
              </w:trPr>
              <w:tc>
                <w:tcPr>
                  <w:tcW w:w="401"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sz w:val="18"/>
                      <w:szCs w:val="18"/>
                      <w:lang w:val="es-EC" w:eastAsia="es-EC"/>
                    </w:rPr>
                  </w:pPr>
                  <w:r w:rsidRPr="003A1D44">
                    <w:rPr>
                      <w:rFonts w:ascii="Calibri" w:hAnsi="Calibri"/>
                      <w:b/>
                      <w:bCs/>
                      <w:sz w:val="18"/>
                      <w:szCs w:val="18"/>
                      <w:lang w:val="es-EC" w:eastAsia="es-EC"/>
                    </w:rPr>
                    <w:t xml:space="preserve">B.9 </w:t>
                  </w:r>
                </w:p>
              </w:tc>
              <w:tc>
                <w:tcPr>
                  <w:tcW w:w="2006"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b/>
                      <w:bCs/>
                      <w:sz w:val="18"/>
                      <w:szCs w:val="18"/>
                      <w:lang w:val="es-EC" w:eastAsia="es-EC"/>
                    </w:rPr>
                  </w:pPr>
                  <w:r w:rsidRPr="003A1D44">
                    <w:rPr>
                      <w:rFonts w:ascii="Calibri" w:hAnsi="Calibri"/>
                      <w:b/>
                      <w:bCs/>
                      <w:sz w:val="18"/>
                      <w:szCs w:val="18"/>
                      <w:lang w:val="es-EC" w:eastAsia="es-EC"/>
                    </w:rPr>
                    <w:t>Préstamo neto / endeudamiento neto</w:t>
                  </w:r>
                </w:p>
              </w:tc>
              <w:tc>
                <w:tcPr>
                  <w:tcW w:w="472" w:type="pct"/>
                  <w:tcBorders>
                    <w:top w:val="nil"/>
                    <w:left w:val="nil"/>
                    <w:bottom w:val="nil"/>
                    <w:right w:val="single" w:sz="4" w:space="0" w:color="auto"/>
                  </w:tcBorders>
                  <w:shd w:val="clear" w:color="auto" w:fill="auto"/>
                  <w:noWrap/>
                  <w:vAlign w:val="bottom"/>
                  <w:hideMark/>
                </w:tcPr>
                <w:p w:rsidR="003A1D44" w:rsidRPr="003A1D44" w:rsidRDefault="003A1D44" w:rsidP="003A1D44">
                  <w:pPr>
                    <w:jc w:val="right"/>
                    <w:rPr>
                      <w:rFonts w:ascii="Calibri" w:hAnsi="Calibri"/>
                      <w:b/>
                      <w:bCs/>
                      <w:color w:val="000000"/>
                      <w:sz w:val="18"/>
                      <w:szCs w:val="18"/>
                      <w:lang w:val="es-EC" w:eastAsia="es-EC"/>
                    </w:rPr>
                  </w:pPr>
                  <w:r w:rsidRPr="003A1D44">
                    <w:rPr>
                      <w:rFonts w:ascii="Calibri" w:hAnsi="Calibri"/>
                      <w:b/>
                      <w:bCs/>
                      <w:color w:val="000000"/>
                      <w:sz w:val="18"/>
                      <w:szCs w:val="18"/>
                      <w:lang w:val="es-EC" w:eastAsia="es-EC"/>
                    </w:rPr>
                    <w:t>12.374</w:t>
                  </w:r>
                </w:p>
              </w:tc>
              <w:tc>
                <w:tcPr>
                  <w:tcW w:w="330"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c>
                <w:tcPr>
                  <w:tcW w:w="1283"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c>
                <w:tcPr>
                  <w:tcW w:w="509" w:type="pct"/>
                  <w:tcBorders>
                    <w:top w:val="nil"/>
                    <w:left w:val="nil"/>
                    <w:bottom w:val="nil"/>
                    <w:right w:val="nil"/>
                  </w:tcBorders>
                  <w:shd w:val="clear" w:color="auto" w:fill="auto"/>
                  <w:noWrap/>
                  <w:vAlign w:val="bottom"/>
                  <w:hideMark/>
                </w:tcPr>
                <w:p w:rsidR="003A1D44" w:rsidRPr="003A1D44" w:rsidRDefault="003A1D44" w:rsidP="003A1D44">
                  <w:pPr>
                    <w:rPr>
                      <w:rFonts w:ascii="Calibri" w:hAnsi="Calibri"/>
                      <w:color w:val="000000"/>
                      <w:sz w:val="18"/>
                      <w:szCs w:val="18"/>
                      <w:lang w:val="es-EC" w:eastAsia="es-EC"/>
                    </w:rPr>
                  </w:pPr>
                </w:p>
              </w:tc>
            </w:tr>
          </w:tbl>
          <w:p w:rsidR="00454593" w:rsidRDefault="00454593" w:rsidP="009036BF">
            <w:pPr>
              <w:spacing w:before="120" w:after="120"/>
              <w:jc w:val="both"/>
              <w:rPr>
                <w:rFonts w:asciiTheme="minorHAnsi" w:eastAsiaTheme="minorHAnsi" w:hAnsiTheme="minorHAnsi" w:cs="Arial"/>
                <w:b/>
                <w:bCs/>
                <w:color w:val="000000"/>
                <w:szCs w:val="22"/>
              </w:rPr>
            </w:pPr>
          </w:p>
          <w:p w:rsidR="001F2010" w:rsidRPr="00410A0A" w:rsidRDefault="001F2010" w:rsidP="009036BF">
            <w:pPr>
              <w:spacing w:before="120" w:after="120"/>
              <w:jc w:val="both"/>
              <w:rPr>
                <w:rFonts w:asciiTheme="minorHAnsi" w:eastAsiaTheme="minorHAnsi" w:hAnsiTheme="minorHAnsi" w:cs="Arial"/>
                <w:b/>
                <w:bCs/>
                <w:color w:val="000000"/>
                <w:szCs w:val="22"/>
              </w:rPr>
            </w:pPr>
          </w:p>
        </w:tc>
      </w:tr>
      <w:tr w:rsidR="00935CAD" w:rsidRPr="00080CCB" w:rsidTr="003A1D44">
        <w:trPr>
          <w:jc w:val="center"/>
        </w:trPr>
        <w:tc>
          <w:tcPr>
            <w:tcW w:w="9054" w:type="dxa"/>
            <w:gridSpan w:val="4"/>
            <w:shd w:val="clear" w:color="auto" w:fill="DBE5F1"/>
            <w:vAlign w:val="center"/>
          </w:tcPr>
          <w:p w:rsidR="00935CAD" w:rsidRPr="00410A0A" w:rsidRDefault="00E05929" w:rsidP="00D27611">
            <w:pPr>
              <w:spacing w:before="120" w:after="120"/>
              <w:jc w:val="center"/>
              <w:rPr>
                <w:rFonts w:asciiTheme="minorHAnsi" w:hAnsiTheme="minorHAnsi" w:cs="Arial"/>
                <w:szCs w:val="22"/>
              </w:rPr>
            </w:pPr>
            <w:r w:rsidRPr="00410A0A">
              <w:rPr>
                <w:rFonts w:asciiTheme="minorHAnsi" w:eastAsiaTheme="minorHAnsi" w:hAnsiTheme="minorHAnsi" w:cs="Arial"/>
                <w:b/>
                <w:bCs/>
                <w:color w:val="000000"/>
                <w:szCs w:val="22"/>
                <w:lang w:val="es-EC"/>
              </w:rPr>
              <w:lastRenderedPageBreak/>
              <w:t>4</w:t>
            </w:r>
            <w:r w:rsidR="00080CCB" w:rsidRPr="00410A0A">
              <w:rPr>
                <w:rFonts w:asciiTheme="minorHAnsi" w:eastAsiaTheme="minorHAnsi" w:hAnsiTheme="minorHAnsi" w:cs="Arial"/>
                <w:b/>
                <w:bCs/>
                <w:color w:val="000000"/>
                <w:szCs w:val="22"/>
                <w:lang w:val="es-EC"/>
              </w:rPr>
              <w:t xml:space="preserve">. </w:t>
            </w:r>
            <w:r w:rsidR="00935CAD" w:rsidRPr="00410A0A">
              <w:rPr>
                <w:rFonts w:asciiTheme="minorHAnsi" w:eastAsiaTheme="minorHAnsi" w:hAnsiTheme="minorHAnsi" w:cs="Arial"/>
                <w:b/>
                <w:bCs/>
                <w:color w:val="000000"/>
                <w:szCs w:val="22"/>
                <w:lang w:val="es-EC"/>
              </w:rPr>
              <w:t>FÓRMULA DE CÁLCULO</w:t>
            </w:r>
          </w:p>
        </w:tc>
      </w:tr>
      <w:tr w:rsidR="00BB0EEC" w:rsidRPr="00080CCB" w:rsidTr="003A1D44">
        <w:trPr>
          <w:jc w:val="center"/>
        </w:trPr>
        <w:tc>
          <w:tcPr>
            <w:tcW w:w="9054" w:type="dxa"/>
            <w:gridSpan w:val="4"/>
            <w:shd w:val="clear" w:color="auto" w:fill="DBE5F1"/>
            <w:vAlign w:val="center"/>
          </w:tcPr>
          <w:p w:rsidR="00BB0EEC"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BB0EEC" w:rsidRPr="00080CCB" w:rsidTr="003A1D44">
        <w:trPr>
          <w:jc w:val="center"/>
        </w:trPr>
        <w:tc>
          <w:tcPr>
            <w:tcW w:w="9054" w:type="dxa"/>
            <w:gridSpan w:val="4"/>
            <w:shd w:val="clear" w:color="auto" w:fill="DBE5F1"/>
            <w:vAlign w:val="center"/>
          </w:tcPr>
          <w:p w:rsidR="00BB0EEC" w:rsidRPr="00410A0A" w:rsidRDefault="00BB0EEC" w:rsidP="009036B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sidRPr="00BB0EEC">
              <w:rPr>
                <w:rFonts w:asciiTheme="minorHAnsi" w:eastAsiaTheme="minorHAnsi" w:hAnsiTheme="minorHAnsi" w:cs="Arial"/>
                <w:b/>
                <w:bCs/>
                <w:color w:val="000000"/>
                <w:szCs w:val="22"/>
                <w:lang w:val="es-EC"/>
              </w:rPr>
              <w:tab/>
              <w:t>Ahorro neto</w:t>
            </w:r>
          </w:p>
        </w:tc>
      </w:tr>
      <w:tr w:rsidR="00BB0EEC" w:rsidRPr="00080CCB" w:rsidTr="003A1D44">
        <w:trPr>
          <w:jc w:val="center"/>
        </w:trPr>
        <w:tc>
          <w:tcPr>
            <w:tcW w:w="9054" w:type="dxa"/>
            <w:gridSpan w:val="4"/>
            <w:shd w:val="clear" w:color="auto" w:fill="auto"/>
            <w:vAlign w:val="center"/>
          </w:tcPr>
          <w:p w:rsidR="000E7348" w:rsidRPr="00517347" w:rsidRDefault="000E7348" w:rsidP="000E7348">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B.8</m:t>
              </m:r>
              <m:r>
                <m:rPr>
                  <m:sty m:val="bi"/>
                </m:rPr>
                <w:rPr>
                  <w:rFonts w:ascii="Cambria Math" w:eastAsiaTheme="minorHAnsi" w:hAnsi="Cambria Math" w:cs="Arial"/>
                  <w:color w:val="000000"/>
                  <w:szCs w:val="22"/>
                </w:rPr>
                <m:t>n</m:t>
              </m:r>
              <m:r>
                <w:rPr>
                  <w:rFonts w:ascii="Cambria Math" w:eastAsiaTheme="minorHAnsi" w:hAnsi="Cambria Math" w:cs="Arial"/>
                  <w:color w:val="000000"/>
                  <w:szCs w:val="22"/>
                </w:rPr>
                <m:t>=B.6n-P.31-P.32</m:t>
              </m:r>
            </m:oMath>
            <w:r>
              <w:rPr>
                <w:rFonts w:asciiTheme="minorHAnsi" w:eastAsiaTheme="minorEastAsia" w:hAnsiTheme="minorHAnsi" w:cs="Arial"/>
                <w:bCs/>
                <w:color w:val="000000"/>
                <w:szCs w:val="22"/>
              </w:rPr>
              <w:t xml:space="preserve">                                                          </w:t>
            </w:r>
          </w:p>
          <w:p w:rsidR="000E7348" w:rsidRDefault="000E7348" w:rsidP="000E7348">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w:t>
            </w:r>
            <w:r w:rsidR="00BE0FAE">
              <w:rPr>
                <w:rFonts w:asciiTheme="minorHAnsi" w:eastAsiaTheme="minorHAnsi" w:hAnsiTheme="minorHAnsi" w:cs="Arial"/>
                <w:bCs/>
                <w:color w:val="000000"/>
                <w:szCs w:val="22"/>
              </w:rPr>
              <w:t>n</w:t>
            </w:r>
            <w:r>
              <w:rPr>
                <w:rFonts w:asciiTheme="minorHAnsi" w:eastAsiaTheme="minorHAnsi" w:hAnsiTheme="minorHAnsi" w:cs="Arial"/>
                <w:bCs/>
                <w:color w:val="000000"/>
                <w:szCs w:val="22"/>
              </w:rPr>
              <w:t xml:space="preserve"> </w:t>
            </w:r>
            <w:r w:rsidRPr="009036BF">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Ahorro 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B.6n </w:t>
            </w:r>
            <w:r w:rsidRPr="009036BF">
              <w:rPr>
                <w:rFonts w:asciiTheme="minorHAnsi" w:eastAsiaTheme="minorHAnsi" w:hAnsiTheme="minorHAnsi" w:cs="Arial"/>
                <w:bCs/>
                <w:color w:val="000000"/>
                <w:szCs w:val="22"/>
              </w:rPr>
              <w:t xml:space="preserve">= </w:t>
            </w:r>
            <w:r w:rsidRPr="00862698">
              <w:rPr>
                <w:rFonts w:asciiTheme="minorHAnsi" w:eastAsiaTheme="minorHAnsi" w:hAnsiTheme="minorHAnsi" w:cs="Arial"/>
                <w:bCs/>
                <w:color w:val="000000"/>
                <w:szCs w:val="22"/>
              </w:rPr>
              <w:t xml:space="preserve">Ingreso nacional disponible </w:t>
            </w:r>
            <w:r>
              <w:rPr>
                <w:rFonts w:asciiTheme="minorHAnsi" w:eastAsiaTheme="minorHAnsi" w:hAnsiTheme="minorHAnsi" w:cs="Arial"/>
                <w:bCs/>
                <w:color w:val="000000"/>
                <w:szCs w:val="22"/>
              </w:rPr>
              <w:t>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P.31 = </w:t>
            </w:r>
            <w:r w:rsidR="006379DF">
              <w:rPr>
                <w:rFonts w:asciiTheme="minorHAnsi" w:eastAsiaTheme="minorHAnsi" w:hAnsiTheme="minorHAnsi" w:cs="Arial"/>
                <w:bCs/>
                <w:color w:val="000000"/>
                <w:szCs w:val="22"/>
              </w:rPr>
              <w:t>Gasto de c</w:t>
            </w:r>
            <w:r w:rsidRPr="00862698">
              <w:rPr>
                <w:rFonts w:asciiTheme="minorHAnsi" w:eastAsiaTheme="minorHAnsi" w:hAnsiTheme="minorHAnsi" w:cs="Arial"/>
                <w:bCs/>
                <w:color w:val="000000"/>
                <w:szCs w:val="22"/>
              </w:rPr>
              <w:t>onsumo final individual</w:t>
            </w:r>
          </w:p>
          <w:p w:rsidR="004C2B0C" w:rsidRPr="00410A0A" w:rsidRDefault="000E7348" w:rsidP="00BE0FA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Cs/>
                <w:color w:val="000000"/>
                <w:szCs w:val="22"/>
              </w:rPr>
              <w:t>P.32 =</w:t>
            </w:r>
            <w:r w:rsidR="006379DF">
              <w:rPr>
                <w:rFonts w:asciiTheme="minorHAnsi" w:eastAsiaTheme="minorHAnsi" w:hAnsiTheme="minorHAnsi" w:cs="Arial"/>
                <w:bCs/>
                <w:color w:val="000000"/>
                <w:szCs w:val="22"/>
              </w:rPr>
              <w:t xml:space="preserve"> Gasto de c</w:t>
            </w:r>
            <w:r w:rsidRPr="00862698">
              <w:rPr>
                <w:rFonts w:asciiTheme="minorHAnsi" w:eastAsiaTheme="minorHAnsi" w:hAnsiTheme="minorHAnsi" w:cs="Arial"/>
                <w:bCs/>
                <w:color w:val="000000"/>
                <w:szCs w:val="22"/>
              </w:rPr>
              <w:t xml:space="preserve">onsumo final </w:t>
            </w:r>
            <w:r>
              <w:rPr>
                <w:rFonts w:asciiTheme="minorHAnsi" w:eastAsiaTheme="minorHAnsi" w:hAnsiTheme="minorHAnsi" w:cs="Arial"/>
                <w:bCs/>
                <w:color w:val="000000"/>
                <w:szCs w:val="22"/>
              </w:rPr>
              <w:t>co</w:t>
            </w:r>
            <w:r w:rsidRPr="00862698">
              <w:rPr>
                <w:rFonts w:asciiTheme="minorHAnsi" w:eastAsiaTheme="minorHAnsi" w:hAnsiTheme="minorHAnsi" w:cs="Arial"/>
                <w:bCs/>
                <w:color w:val="000000"/>
                <w:szCs w:val="22"/>
              </w:rPr>
              <w:t>l</w:t>
            </w:r>
            <w:r w:rsidR="006379DF">
              <w:rPr>
                <w:rFonts w:asciiTheme="minorHAnsi" w:eastAsiaTheme="minorHAnsi" w:hAnsiTheme="minorHAnsi" w:cs="Arial"/>
                <w:bCs/>
                <w:color w:val="000000"/>
                <w:szCs w:val="22"/>
              </w:rPr>
              <w:t xml:space="preserve">ectivo </w:t>
            </w:r>
          </w:p>
        </w:tc>
      </w:tr>
      <w:tr w:rsidR="00BB0EEC" w:rsidRPr="00080CCB" w:rsidTr="003A1D44">
        <w:trPr>
          <w:jc w:val="center"/>
        </w:trPr>
        <w:tc>
          <w:tcPr>
            <w:tcW w:w="9054" w:type="dxa"/>
            <w:gridSpan w:val="4"/>
            <w:shd w:val="clear" w:color="auto" w:fill="DBE5F1"/>
            <w:vAlign w:val="center"/>
          </w:tcPr>
          <w:p w:rsidR="00BB0EEC"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D.9r </w:t>
            </w:r>
            <w:r w:rsidRPr="000B3A7F">
              <w:rPr>
                <w:rFonts w:asciiTheme="minorHAnsi" w:eastAsiaTheme="minorHAnsi" w:hAnsiTheme="minorHAnsi" w:cs="Arial"/>
                <w:b/>
                <w:bCs/>
                <w:color w:val="000000"/>
                <w:szCs w:val="22"/>
                <w:lang w:val="es-EC"/>
              </w:rPr>
              <w:tab/>
              <w:t>Transferencias de capital recibidas</w:t>
            </w:r>
          </w:p>
        </w:tc>
      </w:tr>
      <w:tr w:rsidR="000B3A7F" w:rsidRPr="00080CCB" w:rsidTr="003A1D44">
        <w:trPr>
          <w:jc w:val="center"/>
        </w:trPr>
        <w:tc>
          <w:tcPr>
            <w:tcW w:w="9054" w:type="dxa"/>
            <w:gridSpan w:val="4"/>
            <w:shd w:val="clear" w:color="auto" w:fill="auto"/>
            <w:vAlign w:val="center"/>
          </w:tcPr>
          <w:p w:rsidR="000B3A7F" w:rsidRPr="008020C1" w:rsidRDefault="003A1D44" w:rsidP="004E034B">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No aplica</w:t>
            </w:r>
          </w:p>
        </w:tc>
      </w:tr>
      <w:tr w:rsidR="000B3A7F" w:rsidRPr="00080CCB" w:rsidTr="003A1D44">
        <w:trPr>
          <w:jc w:val="center"/>
        </w:trPr>
        <w:tc>
          <w:tcPr>
            <w:tcW w:w="9054" w:type="dxa"/>
            <w:gridSpan w:val="4"/>
            <w:shd w:val="clear" w:color="auto" w:fill="DBE5F1"/>
            <w:vAlign w:val="center"/>
          </w:tcPr>
          <w:p w:rsidR="000B3A7F"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sidRPr="000B3A7F">
              <w:rPr>
                <w:rFonts w:asciiTheme="minorHAnsi" w:eastAsiaTheme="minorHAnsi" w:hAnsiTheme="minorHAnsi" w:cs="Arial"/>
                <w:b/>
                <w:bCs/>
                <w:color w:val="000000"/>
                <w:szCs w:val="22"/>
                <w:lang w:val="es-EC"/>
              </w:rPr>
              <w:tab/>
              <w:t>Transferencias de capital pagadas (-)</w:t>
            </w:r>
          </w:p>
        </w:tc>
      </w:tr>
      <w:tr w:rsidR="000B3A7F" w:rsidRPr="00080CCB" w:rsidTr="003A1D44">
        <w:trPr>
          <w:jc w:val="center"/>
        </w:trPr>
        <w:tc>
          <w:tcPr>
            <w:tcW w:w="9054" w:type="dxa"/>
            <w:gridSpan w:val="4"/>
            <w:shd w:val="clear" w:color="auto" w:fill="auto"/>
            <w:vAlign w:val="center"/>
          </w:tcPr>
          <w:p w:rsidR="000B3A7F" w:rsidRPr="008020C1" w:rsidRDefault="003A1D44" w:rsidP="004E034B">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No aplica</w:t>
            </w:r>
          </w:p>
        </w:tc>
      </w:tr>
      <w:tr w:rsidR="000B3A7F" w:rsidRPr="00080CCB" w:rsidTr="003A1D44">
        <w:trPr>
          <w:jc w:val="center"/>
        </w:trPr>
        <w:tc>
          <w:tcPr>
            <w:tcW w:w="9054" w:type="dxa"/>
            <w:gridSpan w:val="4"/>
            <w:shd w:val="clear" w:color="auto" w:fill="DBE5F1"/>
            <w:vAlign w:val="center"/>
          </w:tcPr>
          <w:p w:rsidR="000B3A7F"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0B3A7F" w:rsidRPr="00080CCB" w:rsidTr="003A1D44">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0B3A7F" w:rsidRPr="00080CCB" w:rsidTr="003A1D44">
        <w:trPr>
          <w:jc w:val="center"/>
        </w:trPr>
        <w:tc>
          <w:tcPr>
            <w:tcW w:w="9054" w:type="dxa"/>
            <w:gridSpan w:val="4"/>
            <w:shd w:val="clear" w:color="auto" w:fill="auto"/>
            <w:vAlign w:val="center"/>
          </w:tcPr>
          <w:p w:rsidR="004944A6" w:rsidRPr="00DF3D8D" w:rsidRDefault="00DF3D8D" w:rsidP="004944A6">
            <w:pPr>
              <w:spacing w:before="120" w:after="120"/>
              <w:jc w:val="both"/>
              <w:rPr>
                <w:rFonts w:asciiTheme="minorHAnsi" w:eastAsiaTheme="minorHAnsi" w:hAnsiTheme="minorHAnsi" w:cs="Arial"/>
                <w:bCs/>
                <w:color w:val="000000"/>
                <w:szCs w:val="22"/>
                <w:lang w:val="es-EC"/>
              </w:rPr>
            </w:pPr>
            <m:oMathPara>
              <m:oMathParaPr>
                <m:jc m:val="left"/>
              </m:oMathParaPr>
              <m:oMath>
                <m:r>
                  <m:rPr>
                    <m:sty m:val="p"/>
                  </m:rPr>
                  <w:rPr>
                    <w:rFonts w:ascii="Cambria Math" w:hAnsi="Cambria Math" w:cs="Arial"/>
                    <w:sz w:val="20"/>
                    <w:szCs w:val="22"/>
                    <w:lang w:val="es-PE"/>
                  </w:rPr>
                  <m:t>No aplica</m:t>
                </m:r>
              </m:oMath>
            </m:oMathPara>
          </w:p>
        </w:tc>
      </w:tr>
      <w:tr w:rsidR="000B3A7F" w:rsidRPr="00080CCB" w:rsidTr="003A1D44">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Consumo de capital fijo (-)</w:t>
            </w:r>
          </w:p>
        </w:tc>
      </w:tr>
      <w:tr w:rsidR="000B3A7F" w:rsidRPr="00080CCB" w:rsidTr="003A1D44">
        <w:trPr>
          <w:jc w:val="center"/>
        </w:trPr>
        <w:tc>
          <w:tcPr>
            <w:tcW w:w="9054" w:type="dxa"/>
            <w:gridSpan w:val="4"/>
            <w:shd w:val="clear" w:color="auto" w:fill="auto"/>
            <w:vAlign w:val="center"/>
          </w:tcPr>
          <w:p w:rsidR="00C640EC" w:rsidRDefault="00C640EC"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La metodología de cálculo para esta variable se la encuentra en la ficha metodológica de Consumo de capital fijo.</w:t>
            </w:r>
          </w:p>
          <w:p w:rsidR="000B3A7F" w:rsidRDefault="00D21358"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variable P.51c se toma de </w:t>
            </w:r>
            <w:r w:rsidRPr="00D21358">
              <w:rPr>
                <w:rFonts w:asciiTheme="minorHAnsi" w:eastAsiaTheme="minorHAnsi" w:hAnsiTheme="minorHAnsi" w:cs="Arial"/>
                <w:bCs/>
                <w:color w:val="000000"/>
                <w:szCs w:val="22"/>
                <w:lang w:val="es-EC"/>
              </w:rPr>
              <w:t>I. CUENTA DE PRODUCCIÓN</w:t>
            </w:r>
            <w:r>
              <w:rPr>
                <w:rFonts w:asciiTheme="minorHAnsi" w:eastAsiaTheme="minorHAnsi" w:hAnsiTheme="minorHAnsi" w:cs="Arial"/>
                <w:bCs/>
                <w:color w:val="000000"/>
                <w:szCs w:val="22"/>
                <w:lang w:val="es-EC"/>
              </w:rPr>
              <w:t>)</w:t>
            </w:r>
          </w:p>
          <w:p w:rsidR="001F2010" w:rsidRPr="008020C1" w:rsidRDefault="001F2010" w:rsidP="00D21358">
            <w:pPr>
              <w:spacing w:before="120" w:after="120"/>
              <w:jc w:val="both"/>
              <w:rPr>
                <w:rFonts w:asciiTheme="minorHAnsi" w:eastAsiaTheme="minorHAnsi" w:hAnsiTheme="minorHAnsi" w:cs="Arial"/>
                <w:bCs/>
                <w:color w:val="000000"/>
                <w:szCs w:val="22"/>
                <w:lang w:val="es-EC"/>
              </w:rPr>
            </w:pPr>
          </w:p>
        </w:tc>
      </w:tr>
      <w:tr w:rsidR="000B3A7F" w:rsidRPr="00080CCB" w:rsidTr="003A1D44">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P.52</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Variaciones de existencias</w:t>
            </w:r>
          </w:p>
        </w:tc>
      </w:tr>
      <w:tr w:rsidR="000B3A7F" w:rsidRPr="00080CCB" w:rsidTr="003A1D44">
        <w:trPr>
          <w:jc w:val="center"/>
        </w:trPr>
        <w:tc>
          <w:tcPr>
            <w:tcW w:w="9054" w:type="dxa"/>
            <w:gridSpan w:val="4"/>
            <w:shd w:val="clear" w:color="auto" w:fill="auto"/>
            <w:vAlign w:val="center"/>
          </w:tcPr>
          <w:p w:rsidR="001F2010" w:rsidRPr="008020C1" w:rsidRDefault="003A1D44" w:rsidP="00C640EC">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No aplica</w:t>
            </w:r>
          </w:p>
        </w:tc>
      </w:tr>
      <w:tr w:rsidR="000B3A7F" w:rsidRPr="00080CCB" w:rsidTr="003A1D44">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0B3A7F" w:rsidRPr="00080CCB" w:rsidTr="003A1D44">
        <w:trPr>
          <w:jc w:val="center"/>
        </w:trPr>
        <w:tc>
          <w:tcPr>
            <w:tcW w:w="9054" w:type="dxa"/>
            <w:gridSpan w:val="4"/>
            <w:shd w:val="clear" w:color="auto" w:fill="auto"/>
            <w:vAlign w:val="center"/>
          </w:tcPr>
          <w:p w:rsidR="000B3A7F" w:rsidRPr="008020C1" w:rsidRDefault="003A1D44" w:rsidP="00C640E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0B3A7F" w:rsidRPr="00080CCB" w:rsidTr="003A1D44">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0B3A7F" w:rsidRPr="00080CCB" w:rsidTr="003A1D44">
        <w:trPr>
          <w:jc w:val="center"/>
        </w:trPr>
        <w:tc>
          <w:tcPr>
            <w:tcW w:w="9054" w:type="dxa"/>
            <w:gridSpan w:val="4"/>
            <w:shd w:val="clear" w:color="auto" w:fill="auto"/>
            <w:vAlign w:val="center"/>
          </w:tcPr>
          <w:p w:rsidR="000B3A7F" w:rsidRPr="00D0251C" w:rsidRDefault="003A1D44" w:rsidP="00D0251C">
            <w:pPr>
              <w:spacing w:before="120" w:after="120"/>
              <w:jc w:val="both"/>
              <w:rPr>
                <w:sz w:val="20"/>
                <w:szCs w:val="22"/>
              </w:rPr>
            </w:pPr>
            <w:r>
              <w:rPr>
                <w:rFonts w:asciiTheme="minorHAnsi" w:eastAsiaTheme="minorHAnsi" w:hAnsiTheme="minorHAnsi" w:cs="Arial"/>
                <w:bCs/>
                <w:color w:val="000000"/>
                <w:szCs w:val="22"/>
              </w:rPr>
              <w:t>No aplica</w:t>
            </w:r>
          </w:p>
        </w:tc>
      </w:tr>
      <w:tr w:rsidR="000B3A7F" w:rsidRPr="00080CCB" w:rsidTr="003A1D44">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0B3A7F" w:rsidRPr="00080CCB" w:rsidTr="003A1D44">
        <w:trPr>
          <w:jc w:val="center"/>
        </w:trPr>
        <w:tc>
          <w:tcPr>
            <w:tcW w:w="9054" w:type="dxa"/>
            <w:gridSpan w:val="4"/>
            <w:shd w:val="clear" w:color="auto" w:fill="auto"/>
            <w:vAlign w:val="center"/>
          </w:tcPr>
          <w:p w:rsidR="00AF1749" w:rsidRPr="0018477A" w:rsidRDefault="00DF3D8D" w:rsidP="00AF1749">
            <w:pPr>
              <w:shd w:val="clear" w:color="auto" w:fill="FFFFFF" w:themeFill="background1"/>
              <w:spacing w:before="120" w:after="120"/>
              <w:jc w:val="center"/>
              <w:rPr>
                <w:color w:val="000000"/>
                <w:szCs w:val="22"/>
                <w:lang w:val="en-US"/>
              </w:rPr>
            </w:pPr>
            <w:r>
              <w:rPr>
                <w:b/>
                <w:noProof/>
                <w:color w:val="000000"/>
                <w:sz w:val="6"/>
                <w:szCs w:val="22"/>
                <w:lang w:val="es-EC" w:eastAsia="es-EC"/>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91.1pt;margin-top:-60.45pt;width:9.9pt;height:171.8pt;rotation:270;z-index:251660288;mso-position-horizontal-relative:text;mso-position-vertical-relative:text"/>
              </w:pict>
            </w:r>
            <w:r>
              <w:rPr>
                <w:b/>
                <w:noProof/>
                <w:color w:val="000000"/>
                <w:sz w:val="6"/>
                <w:szCs w:val="22"/>
                <w:lang w:val="es-EC" w:eastAsia="es-EC"/>
              </w:rPr>
              <w:pict>
                <v:shape id="_x0000_s1026" type="#_x0000_t87" style="position:absolute;left:0;text-align:left;margin-left:141.8pt;margin-top:-23.3pt;width:4.95pt;height:97.35pt;rotation:270;z-index:251659264;mso-position-horizontal-relative:text;mso-position-vertical-relative:text"/>
              </w:pict>
            </w:r>
            <w:r w:rsidR="00AF1749"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AF1749" w:rsidRPr="00AF1749" w:rsidRDefault="00AF1749" w:rsidP="00AF1749">
            <w:pPr>
              <w:shd w:val="clear" w:color="auto" w:fill="FFFFFF" w:themeFill="background1"/>
              <w:spacing w:before="120" w:after="120"/>
              <w:jc w:val="center"/>
              <w:rPr>
                <w:color w:val="000000"/>
                <w:sz w:val="2"/>
                <w:szCs w:val="22"/>
                <w:lang w:val="en-US"/>
              </w:rPr>
            </w:pPr>
          </w:p>
          <w:p w:rsidR="00AF1749" w:rsidRPr="009F021A" w:rsidRDefault="00AF1749" w:rsidP="00AF1749">
            <w:pPr>
              <w:shd w:val="clear" w:color="auto" w:fill="FFFFFF" w:themeFill="background1"/>
              <w:spacing w:before="120" w:after="120"/>
              <w:rPr>
                <w:color w:val="000000"/>
                <w:szCs w:val="22"/>
                <w:lang w:val="es-EC"/>
              </w:rPr>
            </w:pPr>
            <w:r w:rsidRPr="0018477A">
              <w:rPr>
                <w:rFonts w:asciiTheme="minorHAnsi" w:eastAsiaTheme="minorEastAsia" w:hAnsiTheme="minorHAnsi" w:cs="Arial"/>
                <w:bCs/>
                <w:color w:val="000000"/>
                <w:szCs w:val="22"/>
                <w:lang w:val="en-US"/>
              </w:rPr>
              <w:t xml:space="preserve">                                   </w:t>
            </w:r>
            <w:r w:rsidRPr="0018477A">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AF1749" w:rsidRDefault="00AF1749" w:rsidP="00AF174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AF1749" w:rsidRDefault="000125E5"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B.9</w:t>
            </w:r>
            <w:r w:rsidR="00AF1749">
              <w:rPr>
                <w:rFonts w:asciiTheme="minorHAnsi" w:eastAsiaTheme="minorHAnsi" w:hAnsiTheme="minorHAnsi" w:cs="Arial"/>
                <w:bCs/>
                <w:color w:val="000000"/>
                <w:szCs w:val="22"/>
              </w:rPr>
              <w:t xml:space="preserve">  </w:t>
            </w:r>
            <w:r w:rsidR="00D423CB">
              <w:rPr>
                <w:rFonts w:asciiTheme="minorHAnsi" w:eastAsiaTheme="minorHAnsi" w:hAnsiTheme="minorHAnsi" w:cs="Arial"/>
                <w:bCs/>
                <w:color w:val="000000"/>
                <w:szCs w:val="22"/>
              </w:rPr>
              <w:t xml:space="preserve">   </w:t>
            </w:r>
            <w:r w:rsidR="00AF1749">
              <w:rPr>
                <w:rFonts w:asciiTheme="minorHAnsi" w:eastAsiaTheme="minorHAnsi" w:hAnsiTheme="minorHAnsi" w:cs="Arial"/>
                <w:bCs/>
                <w:color w:val="000000"/>
                <w:szCs w:val="22"/>
              </w:rPr>
              <w:t xml:space="preserve">= </w:t>
            </w:r>
            <w:r w:rsidRPr="000125E5">
              <w:rPr>
                <w:rFonts w:asciiTheme="minorHAnsi" w:eastAsiaTheme="minorHAnsi" w:hAnsiTheme="minorHAnsi" w:cs="Arial"/>
                <w:bCs/>
                <w:color w:val="000000"/>
                <w:szCs w:val="22"/>
              </w:rPr>
              <w:t>Préstamo neto / endeudamiento neto</w:t>
            </w:r>
          </w:p>
          <w:p w:rsidR="000125E5"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B.8n   = Ahorro neto</w:t>
            </w:r>
          </w:p>
          <w:p w:rsidR="00D423CB"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D.9r   = </w:t>
            </w:r>
            <w:r w:rsidRPr="00D423CB">
              <w:rPr>
                <w:rFonts w:asciiTheme="minorHAnsi" w:eastAsiaTheme="minorHAnsi" w:hAnsiTheme="minorHAnsi" w:cs="Arial"/>
                <w:bCs/>
                <w:color w:val="000000"/>
                <w:szCs w:val="22"/>
              </w:rPr>
              <w:t>Transferencias de capital recibidas</w:t>
            </w:r>
          </w:p>
          <w:p w:rsidR="00D423CB" w:rsidRPr="00D423CB" w:rsidRDefault="00D423CB" w:rsidP="00D423C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D.9p   = </w:t>
            </w:r>
            <w:r w:rsidRPr="00D423CB">
              <w:rPr>
                <w:rFonts w:asciiTheme="minorHAnsi" w:eastAsiaTheme="minorHAnsi" w:hAnsiTheme="minorHAnsi" w:cs="Arial"/>
                <w:bCs/>
                <w:color w:val="000000"/>
                <w:szCs w:val="22"/>
              </w:rPr>
              <w:t>Transferencias de capital pagadas (-)</w:t>
            </w:r>
          </w:p>
          <w:p w:rsidR="000B3A7F" w:rsidRDefault="00D423CB" w:rsidP="00AF1749">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P.51b</w:t>
            </w:r>
            <w:r>
              <w:rPr>
                <w:rFonts w:asciiTheme="minorHAnsi" w:eastAsiaTheme="minorHAnsi" w:hAnsiTheme="minorHAnsi" w:cs="Arial"/>
                <w:bCs/>
                <w:color w:val="000000"/>
                <w:szCs w:val="22"/>
              </w:rPr>
              <w:t xml:space="preserve"> = </w:t>
            </w:r>
            <w:r w:rsidRPr="00D423CB">
              <w:rPr>
                <w:rFonts w:asciiTheme="minorHAnsi" w:eastAsiaTheme="minorHAnsi" w:hAnsiTheme="minorHAnsi" w:cs="Arial"/>
                <w:bCs/>
                <w:color w:val="000000"/>
                <w:szCs w:val="22"/>
              </w:rPr>
              <w:t>Formación bruta de capital fijo</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w:t>
            </w:r>
            <w:r>
              <w:rPr>
                <w:rFonts w:asciiTheme="minorHAnsi" w:eastAsiaTheme="minorHAnsi" w:hAnsiTheme="minorHAnsi" w:cs="Arial"/>
                <w:bCs/>
                <w:color w:val="000000"/>
                <w:szCs w:val="22"/>
              </w:rPr>
              <w:t xml:space="preserve">c = </w:t>
            </w:r>
            <w:r w:rsidRPr="00D423CB">
              <w:rPr>
                <w:rFonts w:asciiTheme="minorHAnsi" w:eastAsiaTheme="minorHAnsi" w:hAnsiTheme="minorHAnsi" w:cs="Arial"/>
                <w:bCs/>
                <w:color w:val="000000"/>
                <w:szCs w:val="22"/>
              </w:rPr>
              <w:t>Consumo de capital fijo (-)</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2   = </w:t>
            </w:r>
            <w:r w:rsidRPr="00D423CB">
              <w:rPr>
                <w:rFonts w:asciiTheme="minorHAnsi" w:eastAsiaTheme="minorHAnsi" w:hAnsiTheme="minorHAnsi" w:cs="Arial"/>
                <w:bCs/>
                <w:color w:val="000000"/>
                <w:szCs w:val="22"/>
              </w:rPr>
              <w:t>Variaciones de existencias</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3   = </w:t>
            </w:r>
            <w:r w:rsidRPr="00D423CB">
              <w:rPr>
                <w:rFonts w:asciiTheme="minorHAnsi" w:eastAsiaTheme="minorHAnsi" w:hAnsiTheme="minorHAnsi" w:cs="Arial"/>
                <w:bCs/>
                <w:color w:val="000000"/>
                <w:szCs w:val="22"/>
              </w:rPr>
              <w:t>Adquisiciones menos disposiciones de objetos valiosos</w:t>
            </w:r>
          </w:p>
          <w:p w:rsidR="001B7317" w:rsidRPr="0025612F" w:rsidRDefault="00D423CB" w:rsidP="00E0227D">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NP      = </w:t>
            </w:r>
            <w:r w:rsidRPr="00D423CB">
              <w:rPr>
                <w:rFonts w:asciiTheme="minorHAnsi" w:eastAsiaTheme="minorHAnsi" w:hAnsiTheme="minorHAnsi" w:cs="Arial"/>
                <w:bCs/>
                <w:color w:val="000000"/>
                <w:szCs w:val="22"/>
              </w:rPr>
              <w:t>Adquisición menos disposiciones de activos no financieros no producidos</w:t>
            </w:r>
          </w:p>
        </w:tc>
      </w:tr>
      <w:tr w:rsidR="000B3A7F" w:rsidRPr="00080CCB" w:rsidTr="003A1D44">
        <w:trPr>
          <w:jc w:val="center"/>
        </w:trPr>
        <w:tc>
          <w:tcPr>
            <w:tcW w:w="9054" w:type="dxa"/>
            <w:gridSpan w:val="4"/>
            <w:shd w:val="clear" w:color="auto" w:fill="DBE5F1"/>
            <w:vAlign w:val="center"/>
          </w:tcPr>
          <w:p w:rsidR="000B3A7F" w:rsidRPr="00410A0A" w:rsidRDefault="000B3A7F" w:rsidP="00DC5743">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5. DEFINICIÓN DE LAS VARIABLES RELACIONADAS</w:t>
            </w:r>
          </w:p>
        </w:tc>
      </w:tr>
      <w:tr w:rsidR="00D53653" w:rsidRPr="00080CCB" w:rsidTr="003A1D44">
        <w:trPr>
          <w:jc w:val="center"/>
        </w:trPr>
        <w:tc>
          <w:tcPr>
            <w:tcW w:w="9054" w:type="dxa"/>
            <w:gridSpan w:val="4"/>
            <w:vAlign w:val="center"/>
          </w:tcPr>
          <w:p w:rsidR="00DF3D8D" w:rsidRDefault="00DF3D8D"/>
          <w:p w:rsidR="00DF3D8D" w:rsidRDefault="00DF3D8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716"/>
              <w:gridCol w:w="6229"/>
            </w:tblGrid>
            <w:tr w:rsidR="00D53653" w:rsidRPr="0025612F" w:rsidTr="001F2010">
              <w:trPr>
                <w:trHeight w:hRule="exact" w:val="1050"/>
                <w:tblHeader/>
              </w:trPr>
              <w:tc>
                <w:tcPr>
                  <w:tcW w:w="500"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lastRenderedPageBreak/>
                    <w:t>Código SCN 2008</w:t>
                  </w:r>
                </w:p>
              </w:tc>
              <w:tc>
                <w:tcPr>
                  <w:tcW w:w="972"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566D13" w:rsidRPr="0025612F" w:rsidTr="003A1D44">
              <w:trPr>
                <w:trHeight w:val="156"/>
              </w:trPr>
              <w:tc>
                <w:tcPr>
                  <w:tcW w:w="500"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D44900"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566D13" w:rsidRPr="0025612F" w:rsidRDefault="00D44900" w:rsidP="00D44900">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D.9r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0B3A7F" w:rsidRDefault="00D076DC"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sidR="009822CB">
                    <w:rPr>
                      <w:rFonts w:asciiTheme="minorHAnsi" w:hAnsiTheme="minorHAnsi"/>
                      <w:sz w:val="22"/>
                      <w:szCs w:val="22"/>
                    </w:rPr>
                    <w:t xml:space="preserve"> (SCN 2008, 10.204)</w:t>
                  </w:r>
                </w:p>
                <w:p w:rsidR="00D076DC" w:rsidRPr="0025612F" w:rsidRDefault="009822CB" w:rsidP="00E37032">
                  <w:pPr>
                    <w:spacing w:before="120" w:after="120"/>
                    <w:jc w:val="both"/>
                    <w:rPr>
                      <w:rFonts w:asciiTheme="minorHAnsi" w:hAnsiTheme="minorHAnsi"/>
                      <w:szCs w:val="22"/>
                    </w:rPr>
                  </w:pPr>
                  <w:r>
                    <w:rPr>
                      <w:rFonts w:asciiTheme="minorHAnsi" w:hAnsiTheme="minorHAnsi"/>
                      <w:sz w:val="22"/>
                      <w:szCs w:val="22"/>
                    </w:rPr>
                    <w:t>(…) l</w:t>
                  </w:r>
                  <w:r w:rsidR="00D076DC" w:rsidRPr="009822CB">
                    <w:rPr>
                      <w:rFonts w:asciiTheme="minorHAnsi" w:hAnsiTheme="minorHAnsi"/>
                      <w:sz w:val="22"/>
                      <w:szCs w:val="22"/>
                    </w:rPr>
                    <w:t>as</w:t>
                  </w:r>
                  <w:r w:rsidRPr="009822CB">
                    <w:rPr>
                      <w:rFonts w:asciiTheme="minorHAnsi" w:hAnsiTheme="minorHAnsi"/>
                      <w:sz w:val="22"/>
                      <w:szCs w:val="22"/>
                    </w:rPr>
                    <w:t xml:space="preserve"> </w:t>
                  </w:r>
                  <w:r w:rsidR="00D076DC" w:rsidRPr="009822CB">
                    <w:rPr>
                      <w:rFonts w:asciiTheme="minorHAnsi" w:hAnsiTheme="minorHAnsi"/>
                      <w:sz w:val="22"/>
                      <w:szCs w:val="22"/>
                    </w:rPr>
                    <w:t>transferencias de capital por cobrar y por pagar se</w:t>
                  </w:r>
                  <w:r w:rsidRPr="009822CB">
                    <w:rPr>
                      <w:rFonts w:asciiTheme="minorHAnsi" w:hAnsiTheme="minorHAnsi"/>
                      <w:sz w:val="22"/>
                      <w:szCs w:val="22"/>
                    </w:rPr>
                    <w:t xml:space="preserve"> </w:t>
                  </w:r>
                  <w:r w:rsidR="00D076DC" w:rsidRPr="009822CB">
                    <w:rPr>
                      <w:rFonts w:asciiTheme="minorHAnsi" w:hAnsiTheme="minorHAnsi"/>
                      <w:sz w:val="22"/>
                      <w:szCs w:val="22"/>
                    </w:rPr>
                    <w:t>cancelan entre sí en la misma forma en que lo hacen</w:t>
                  </w:r>
                  <w:r w:rsidRPr="009822CB">
                    <w:rPr>
                      <w:rFonts w:asciiTheme="minorHAnsi" w:hAnsiTheme="minorHAnsi"/>
                      <w:sz w:val="22"/>
                      <w:szCs w:val="22"/>
                    </w:rPr>
                    <w:t xml:space="preserve"> </w:t>
                  </w:r>
                  <w:r w:rsidR="00D076DC" w:rsidRPr="009822CB">
                    <w:rPr>
                      <w:rFonts w:asciiTheme="minorHAnsi" w:hAnsiTheme="minorHAnsi"/>
                      <w:sz w:val="22"/>
                      <w:szCs w:val="22"/>
                    </w:rPr>
                    <w:t>las rentas de la propiedad y las transferencias</w:t>
                  </w:r>
                  <w:r w:rsidRPr="009822CB">
                    <w:rPr>
                      <w:rFonts w:asciiTheme="minorHAnsi" w:hAnsiTheme="minorHAnsi"/>
                      <w:sz w:val="22"/>
                      <w:szCs w:val="22"/>
                    </w:rPr>
                    <w:t xml:space="preserve"> </w:t>
                  </w:r>
                  <w:r w:rsidR="00D076DC" w:rsidRPr="009822CB">
                    <w:rPr>
                      <w:rFonts w:asciiTheme="minorHAnsi" w:hAnsiTheme="minorHAnsi"/>
                      <w:sz w:val="22"/>
                      <w:szCs w:val="22"/>
                    </w:rPr>
                    <w:t>corrientes</w:t>
                  </w:r>
                  <w:r>
                    <w:rPr>
                      <w:rFonts w:asciiTheme="minorHAnsi" w:hAnsiTheme="minorHAnsi"/>
                      <w:sz w:val="22"/>
                      <w:szCs w:val="22"/>
                    </w:rPr>
                    <w:t>(…) (SCN 2008, 16.18)</w:t>
                  </w:r>
                  <w:r w:rsidR="00D076DC" w:rsidRPr="009822CB">
                    <w:rPr>
                      <w:rFonts w:asciiTheme="minorHAnsi" w:hAnsiTheme="minorHAnsi"/>
                      <w:sz w:val="22"/>
                      <w:szCs w:val="22"/>
                    </w:rPr>
                    <w:t xml:space="preserve"> </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D.9p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E37032" w:rsidRDefault="00E37032"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0B3A7F" w:rsidRPr="0025612F" w:rsidRDefault="00E37032" w:rsidP="00E3703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0B3A7F" w:rsidRPr="00983BC7" w:rsidRDefault="00983BC7" w:rsidP="00983BC7">
                  <w:pPr>
                    <w:spacing w:before="120" w:after="120"/>
                    <w:jc w:val="both"/>
                    <w:rPr>
                      <w:rFonts w:asciiTheme="minorHAnsi" w:hAnsiTheme="minorHAnsi"/>
                      <w:szCs w:val="22"/>
                    </w:rPr>
                  </w:pPr>
                  <w:r w:rsidRPr="00983BC7">
                    <w:rPr>
                      <w:rFonts w:asciiTheme="minorHAnsi" w:hAnsiTheme="minorHAnsi"/>
                      <w:sz w:val="22"/>
                      <w:szCs w:val="22"/>
                    </w:rPr>
                    <w:t>La formación bruta de capital fijo se mide por el valor total de las adquisiciones menos las disposiciones, de activos fijos efectuadas por el productor durante el período contable más ciertos gastos específicos en servicios que incrementan el valor de los activos no 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P.51c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Consumo de </w:t>
                  </w:r>
                  <w:r w:rsidRPr="0025612F">
                    <w:rPr>
                      <w:rFonts w:asciiTheme="minorHAnsi" w:hAnsiTheme="minorHAnsi" w:cs="Calibri"/>
                      <w:b/>
                      <w:sz w:val="22"/>
                      <w:szCs w:val="22"/>
                      <w:lang w:val="es-EC" w:eastAsia="es-EC"/>
                    </w:rPr>
                    <w:lastRenderedPageBreak/>
                    <w:t>capital fijo (-)</w:t>
                  </w:r>
                </w:p>
              </w:tc>
              <w:tc>
                <w:tcPr>
                  <w:tcW w:w="3528" w:type="pct"/>
                  <w:shd w:val="clear" w:color="auto" w:fill="FFFFFF" w:themeFill="background1"/>
                </w:tcPr>
                <w:p w:rsidR="000B3A7F" w:rsidRPr="0025612F" w:rsidRDefault="0018477A" w:rsidP="0018477A">
                  <w:pPr>
                    <w:spacing w:before="120" w:after="120"/>
                    <w:rPr>
                      <w:rFonts w:asciiTheme="minorHAnsi" w:hAnsiTheme="minorHAnsi"/>
                      <w:szCs w:val="22"/>
                    </w:rPr>
                  </w:pPr>
                  <w:r w:rsidRPr="00B103A4">
                    <w:rPr>
                      <w:rFonts w:asciiTheme="minorHAnsi" w:hAnsiTheme="minorHAnsi"/>
                      <w:sz w:val="22"/>
                      <w:szCs w:val="22"/>
                    </w:rPr>
                    <w:lastRenderedPageBreak/>
                    <w:t xml:space="preserve">El consumo de capital fijo es la declinación, durante el período </w:t>
                  </w:r>
                  <w:r w:rsidRPr="00B103A4">
                    <w:rPr>
                      <w:rFonts w:asciiTheme="minorHAnsi" w:hAnsiTheme="minorHAnsi"/>
                      <w:sz w:val="22"/>
                      <w:szCs w:val="22"/>
                    </w:rPr>
                    <w:lastRenderedPageBreak/>
                    <w:t>contable, del valor corriente del stock de activos fijos que posee y que utiliza un productor, como consecuencia del deterioro físico, de la obsolescencia normal o de daños accidentales normales.</w:t>
                  </w:r>
                  <w:r w:rsidR="00D7232B" w:rsidRPr="00B103A4">
                    <w:rPr>
                      <w:rFonts w:asciiTheme="minorHAnsi" w:hAnsiTheme="minorHAnsi"/>
                      <w:sz w:val="22"/>
                      <w:szCs w:val="22"/>
                    </w:rPr>
                    <w:t xml:space="preserve"> (S</w:t>
                  </w:r>
                  <w:r w:rsidR="00A87C60" w:rsidRPr="00B103A4">
                    <w:rPr>
                      <w:rFonts w:asciiTheme="minorHAnsi" w:hAnsiTheme="minorHAnsi"/>
                      <w:sz w:val="22"/>
                      <w:szCs w:val="22"/>
                    </w:rPr>
                    <w:t>CN</w:t>
                  </w:r>
                  <w:r w:rsidR="00D7232B" w:rsidRPr="00B103A4">
                    <w:rPr>
                      <w:rFonts w:asciiTheme="minorHAnsi" w:hAnsiTheme="minorHAnsi"/>
                      <w:sz w:val="22"/>
                      <w:szCs w:val="22"/>
                    </w:rPr>
                    <w:t xml:space="preserve"> 2008</w:t>
                  </w:r>
                  <w:r w:rsidR="00A87C60" w:rsidRPr="00B103A4">
                    <w:rPr>
                      <w:rFonts w:asciiTheme="minorHAnsi" w:hAnsiTheme="minorHAnsi"/>
                      <w:sz w:val="22"/>
                      <w:szCs w:val="22"/>
                    </w:rPr>
                    <w:t>,</w:t>
                  </w:r>
                  <w:r w:rsidR="00D7232B" w:rsidRPr="00B103A4">
                    <w:rPr>
                      <w:rFonts w:asciiTheme="minorHAnsi" w:hAnsiTheme="minorHAnsi"/>
                      <w:sz w:val="22"/>
                      <w:szCs w:val="22"/>
                    </w:rPr>
                    <w:t xml:space="preserve"> 10.25)</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lastRenderedPageBreak/>
                    <w:t>P.52</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0B3A7F" w:rsidRPr="0032294E" w:rsidRDefault="0032294E" w:rsidP="0032294E">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P.53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0B3A7F" w:rsidRPr="008125A1" w:rsidRDefault="00F75E8E" w:rsidP="008125A1">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sidR="008125A1">
                    <w:rPr>
                      <w:rFonts w:asciiTheme="minorHAnsi" w:hAnsiTheme="minorHAnsi"/>
                      <w:sz w:val="22"/>
                      <w:szCs w:val="22"/>
                      <w:shd w:val="clear" w:color="auto" w:fill="FFFFFF" w:themeFill="background1"/>
                    </w:rPr>
                    <w:t>ario</w:t>
                  </w:r>
                  <w:r w:rsidR="004045C8" w:rsidRPr="004045C8">
                    <w:rPr>
                      <w:rFonts w:asciiTheme="minorHAnsi" w:hAnsiTheme="minorHAnsi"/>
                      <w:sz w:val="22"/>
                      <w:szCs w:val="22"/>
                    </w:rPr>
                    <w:t xml:space="preserve">. </w:t>
                  </w:r>
                  <w:r w:rsidR="004045C8" w:rsidRPr="00B103A4">
                    <w:rPr>
                      <w:rFonts w:asciiTheme="minorHAnsi" w:hAnsiTheme="minorHAnsi"/>
                      <w:sz w:val="22"/>
                      <w:szCs w:val="22"/>
                    </w:rPr>
                    <w:t>(SCN 2008, 10.</w:t>
                  </w:r>
                  <w:r w:rsidR="004045C8">
                    <w:rPr>
                      <w:rFonts w:asciiTheme="minorHAnsi" w:hAnsiTheme="minorHAnsi"/>
                      <w:sz w:val="22"/>
                      <w:szCs w:val="22"/>
                    </w:rPr>
                    <w:t>149</w:t>
                  </w:r>
                  <w:r w:rsidR="004045C8" w:rsidRPr="00B103A4">
                    <w:rPr>
                      <w:rFonts w:asciiTheme="minorHAnsi" w:hAnsiTheme="minorHAnsi"/>
                      <w:sz w:val="22"/>
                      <w:szCs w:val="22"/>
                    </w:rPr>
                    <w:t>)</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0B3A7F" w:rsidRPr="006C6235" w:rsidRDefault="00640E99" w:rsidP="00640E99">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0B3A7F" w:rsidRPr="0025612F" w:rsidTr="003A1D44">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1B7317" w:rsidRPr="0025612F" w:rsidRDefault="00E37032" w:rsidP="00E37032">
                  <w:pPr>
                    <w:spacing w:before="120" w:after="120"/>
                    <w:jc w:val="both"/>
                    <w:rPr>
                      <w:rFonts w:asciiTheme="minorHAnsi" w:hAnsiTheme="minorHAnsi"/>
                      <w:szCs w:val="22"/>
                    </w:rPr>
                  </w:pPr>
                  <w:r w:rsidRPr="00E37032">
                    <w:rPr>
                      <w:rFonts w:asciiTheme="minorHAnsi" w:hAnsiTheme="minorHAnsi"/>
                      <w:sz w:val="22"/>
                      <w:szCs w:val="22"/>
                    </w:rPr>
                    <w:t>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endeudamiento neto. (SCN 2008, 10.28)</w:t>
                  </w:r>
                </w:p>
              </w:tc>
            </w:tr>
          </w:tbl>
          <w:p w:rsidR="00D53653" w:rsidRPr="00410A0A" w:rsidRDefault="00D53653" w:rsidP="009036BF">
            <w:pPr>
              <w:jc w:val="both"/>
              <w:rPr>
                <w:rFonts w:asciiTheme="minorHAnsi" w:hAnsiTheme="minorHAnsi" w:cs="Arial"/>
                <w:szCs w:val="22"/>
              </w:rPr>
            </w:pPr>
          </w:p>
        </w:tc>
      </w:tr>
      <w:tr w:rsidR="00D53653" w:rsidRPr="00080CCB" w:rsidTr="003A1D44">
        <w:trPr>
          <w:jc w:val="center"/>
        </w:trPr>
        <w:tc>
          <w:tcPr>
            <w:tcW w:w="9054" w:type="dxa"/>
            <w:gridSpan w:val="4"/>
            <w:shd w:val="clear" w:color="auto" w:fill="DBE5F1"/>
            <w:vAlign w:val="center"/>
          </w:tcPr>
          <w:p w:rsidR="00D53653" w:rsidRPr="00410A0A" w:rsidRDefault="00D53653"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6. METODOLOGÍA DE CÁLCULO</w:t>
            </w:r>
          </w:p>
        </w:tc>
      </w:tr>
      <w:tr w:rsidR="00D53653" w:rsidRPr="00080CCB" w:rsidTr="003A1D44">
        <w:trPr>
          <w:jc w:val="center"/>
        </w:trPr>
        <w:tc>
          <w:tcPr>
            <w:tcW w:w="9054" w:type="dxa"/>
            <w:gridSpan w:val="4"/>
            <w:shd w:val="clear" w:color="auto" w:fill="auto"/>
            <w:vAlign w:val="center"/>
          </w:tcPr>
          <w:p w:rsidR="007344A9" w:rsidRPr="00566D13" w:rsidRDefault="001B7317" w:rsidP="00D107FD">
            <w:pPr>
              <w:spacing w:before="120" w:after="120"/>
              <w:jc w:val="both"/>
              <w:rPr>
                <w:rFonts w:asciiTheme="minorHAnsi" w:eastAsiaTheme="minorHAnsi" w:hAnsiTheme="minorHAnsi" w:cs="Arial"/>
                <w:bCs/>
                <w:color w:val="000000"/>
                <w:szCs w:val="22"/>
                <w:lang w:val="es-EC"/>
              </w:rPr>
            </w:pPr>
            <w:r w:rsidRPr="003A1D44">
              <w:rPr>
                <w:rFonts w:asciiTheme="minorHAnsi" w:eastAsiaTheme="minorHAnsi" w:hAnsiTheme="minorHAnsi" w:cs="Arial"/>
                <w:bCs/>
                <w:color w:val="000000"/>
                <w:szCs w:val="22"/>
              </w:rPr>
              <w:t>A</w:t>
            </w:r>
            <w:r w:rsidRPr="006C3CAD">
              <w:rPr>
                <w:rFonts w:asciiTheme="minorHAnsi" w:eastAsiaTheme="minorHAnsi" w:hAnsiTheme="minorHAnsi" w:cs="Arial"/>
                <w:bCs/>
                <w:color w:val="000000"/>
                <w:szCs w:val="22"/>
              </w:rPr>
              <w:t xml:space="preserve"> continuación se detalla el método de cálculo de la Cuenta</w:t>
            </w:r>
            <w:r>
              <w:rPr>
                <w:rFonts w:asciiTheme="minorHAnsi" w:eastAsiaTheme="minorHAnsi" w:hAnsiTheme="minorHAnsi" w:cs="Arial"/>
                <w:bCs/>
                <w:color w:val="000000"/>
                <w:szCs w:val="22"/>
                <w:lang w:val="es-EC"/>
              </w:rPr>
              <w:t xml:space="preserve"> de asignación</w:t>
            </w:r>
            <w:r w:rsidRPr="006C3CAD">
              <w:rPr>
                <w:rFonts w:asciiTheme="minorHAnsi" w:eastAsiaTheme="minorHAnsi" w:hAnsiTheme="minorHAnsi" w:cs="Arial"/>
                <w:bCs/>
                <w:color w:val="000000"/>
                <w:szCs w:val="22"/>
                <w:lang w:val="es-EC"/>
              </w:rPr>
              <w:t xml:space="preserve"> del ingreso, tanto para los recursos y los empleos:</w:t>
            </w:r>
          </w:p>
        </w:tc>
      </w:tr>
      <w:tr w:rsidR="004C708F" w:rsidRPr="00080CCB" w:rsidTr="003A1D44">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4C708F" w:rsidRPr="00080CCB" w:rsidTr="003A1D44">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Pr>
                <w:rFonts w:asciiTheme="minorHAnsi" w:eastAsiaTheme="minorHAnsi" w:hAnsiTheme="minorHAnsi" w:cs="Arial"/>
                <w:b/>
                <w:bCs/>
                <w:color w:val="000000"/>
                <w:szCs w:val="22"/>
                <w:lang w:val="es-EC"/>
              </w:rPr>
              <w:t xml:space="preserve"> </w:t>
            </w:r>
            <w:r w:rsidRPr="00BB0EEC">
              <w:rPr>
                <w:rFonts w:asciiTheme="minorHAnsi" w:eastAsiaTheme="minorHAnsi" w:hAnsiTheme="minorHAnsi" w:cs="Arial"/>
                <w:b/>
                <w:bCs/>
                <w:color w:val="000000"/>
                <w:szCs w:val="22"/>
                <w:lang w:val="es-EC"/>
              </w:rPr>
              <w:t>Ahorro neto</w:t>
            </w:r>
          </w:p>
        </w:tc>
      </w:tr>
      <w:tr w:rsidR="004C708F" w:rsidRPr="00080CCB" w:rsidTr="003A1D44">
        <w:trPr>
          <w:jc w:val="center"/>
        </w:trPr>
        <w:tc>
          <w:tcPr>
            <w:tcW w:w="9054" w:type="dxa"/>
            <w:gridSpan w:val="4"/>
            <w:shd w:val="clear" w:color="auto" w:fill="auto"/>
            <w:vAlign w:val="center"/>
          </w:tcPr>
          <w:p w:rsidR="00A42298" w:rsidRDefault="00A42298" w:rsidP="00A42298">
            <w:pPr>
              <w:widowControl w:val="0"/>
              <w:autoSpaceDE w:val="0"/>
              <w:autoSpaceDN w:val="0"/>
              <w:adjustRightInd w:val="0"/>
              <w:spacing w:before="120" w:after="120" w:line="276" w:lineRule="auto"/>
              <w:ind w:right="68"/>
              <w:rPr>
                <w:rFonts w:asciiTheme="minorHAnsi" w:hAnsiTheme="minorHAnsi" w:cs="Tahoma"/>
                <w:iCs/>
                <w:color w:val="000000"/>
                <w:position w:val="-1"/>
                <w:szCs w:val="22"/>
              </w:rPr>
            </w:pPr>
            <w:r>
              <w:rPr>
                <w:rFonts w:asciiTheme="minorHAnsi" w:hAnsiTheme="minorHAnsi" w:cs="Tahoma"/>
                <w:iCs/>
                <w:color w:val="000000"/>
                <w:position w:val="-1"/>
                <w:szCs w:val="22"/>
              </w:rPr>
              <w:lastRenderedPageBreak/>
              <w:t>Esta variable es la contrapartida de la II.4.1. Cuenta de Utilización del Ingreso Disponible por parte de los empleos</w:t>
            </w:r>
          </w:p>
          <w:p w:rsidR="004C708F" w:rsidRPr="00A42298" w:rsidRDefault="00A42298" w:rsidP="000E5BF3">
            <w:pPr>
              <w:spacing w:before="120" w:after="120"/>
              <w:rPr>
                <w:rFonts w:asciiTheme="minorHAnsi" w:eastAsiaTheme="minorHAnsi" w:hAnsiTheme="minorHAnsi" w:cs="Arial"/>
                <w:b/>
                <w:bCs/>
                <w:color w:val="000000"/>
                <w:szCs w:val="22"/>
              </w:rPr>
            </w:pPr>
            <w:r>
              <w:rPr>
                <w:rFonts w:asciiTheme="minorHAnsi" w:hAnsiTheme="minorHAnsi" w:cs="Tahoma"/>
                <w:iCs/>
                <w:color w:val="000000"/>
                <w:position w:val="-1"/>
                <w:szCs w:val="22"/>
              </w:rPr>
              <w:t xml:space="preserve">B.8n </w:t>
            </w:r>
            <w:r w:rsidRPr="00A42298">
              <w:rPr>
                <w:rFonts w:asciiTheme="minorHAnsi" w:hAnsiTheme="minorHAnsi" w:cs="Tahoma"/>
                <w:iCs/>
                <w:color w:val="000000"/>
                <w:position w:val="-1"/>
                <w:szCs w:val="22"/>
              </w:rPr>
              <w:t>Ahorro neto</w:t>
            </w:r>
            <w:r>
              <w:rPr>
                <w:rFonts w:asciiTheme="minorHAnsi" w:hAnsiTheme="minorHAnsi" w:cs="Tahoma"/>
                <w:iCs/>
                <w:color w:val="000000"/>
                <w:position w:val="-1"/>
                <w:szCs w:val="22"/>
              </w:rPr>
              <w:t xml:space="preserve"> = </w:t>
            </w:r>
            <w:r w:rsidR="003A1D44" w:rsidRPr="003A1D44">
              <w:rPr>
                <w:rFonts w:asciiTheme="minorHAnsi" w:hAnsiTheme="minorHAnsi" w:cs="Tahoma"/>
                <w:iCs/>
                <w:color w:val="000000"/>
                <w:position w:val="-1"/>
                <w:szCs w:val="22"/>
              </w:rPr>
              <w:t>11.609</w:t>
            </w:r>
          </w:p>
        </w:tc>
      </w:tr>
      <w:tr w:rsidR="004C708F" w:rsidRPr="00080CCB" w:rsidTr="003A1D44">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D.9r</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recibidas</w:t>
            </w:r>
          </w:p>
        </w:tc>
      </w:tr>
      <w:tr w:rsidR="004C708F" w:rsidRPr="00080CCB" w:rsidTr="003A1D44">
        <w:trPr>
          <w:jc w:val="center"/>
        </w:trPr>
        <w:tc>
          <w:tcPr>
            <w:tcW w:w="9054" w:type="dxa"/>
            <w:gridSpan w:val="4"/>
            <w:shd w:val="clear" w:color="auto" w:fill="auto"/>
            <w:vAlign w:val="center"/>
          </w:tcPr>
          <w:p w:rsidR="004C708F" w:rsidRPr="008020C1" w:rsidRDefault="003A1D44"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No aplica</w:t>
            </w:r>
          </w:p>
        </w:tc>
      </w:tr>
      <w:tr w:rsidR="004C708F" w:rsidRPr="00080CCB" w:rsidTr="003A1D44">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pagadas (-)</w:t>
            </w:r>
          </w:p>
        </w:tc>
      </w:tr>
      <w:tr w:rsidR="004C708F" w:rsidRPr="00080CCB" w:rsidTr="003A1D44">
        <w:trPr>
          <w:jc w:val="center"/>
        </w:trPr>
        <w:tc>
          <w:tcPr>
            <w:tcW w:w="9054" w:type="dxa"/>
            <w:gridSpan w:val="4"/>
            <w:shd w:val="clear" w:color="auto" w:fill="auto"/>
            <w:vAlign w:val="center"/>
          </w:tcPr>
          <w:p w:rsidR="004C708F" w:rsidRPr="008020C1" w:rsidRDefault="003A1D44"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No aplica</w:t>
            </w:r>
          </w:p>
        </w:tc>
      </w:tr>
      <w:tr w:rsidR="004C708F" w:rsidRPr="00080CCB" w:rsidTr="003A1D44">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4C708F" w:rsidRPr="00080CCB" w:rsidTr="003A1D44">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4C708F" w:rsidRPr="00080CCB" w:rsidTr="003A1D44">
        <w:trPr>
          <w:jc w:val="center"/>
        </w:trPr>
        <w:tc>
          <w:tcPr>
            <w:tcW w:w="9054" w:type="dxa"/>
            <w:gridSpan w:val="4"/>
            <w:shd w:val="clear" w:color="auto" w:fill="auto"/>
            <w:vAlign w:val="center"/>
          </w:tcPr>
          <w:p w:rsidR="00D914BC" w:rsidRPr="00D914BC" w:rsidRDefault="003A1D44" w:rsidP="003A1D44">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4C708F" w:rsidRPr="00080CCB" w:rsidTr="003A1D44">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  Consumo de capital fijo (-)</w:t>
            </w:r>
          </w:p>
        </w:tc>
      </w:tr>
      <w:tr w:rsidR="004C708F" w:rsidRPr="00080CCB" w:rsidTr="003A1D44">
        <w:trPr>
          <w:jc w:val="center"/>
        </w:trPr>
        <w:tc>
          <w:tcPr>
            <w:tcW w:w="9054" w:type="dxa"/>
            <w:gridSpan w:val="4"/>
            <w:shd w:val="clear" w:color="auto" w:fill="auto"/>
            <w:vAlign w:val="center"/>
          </w:tcPr>
          <w:p w:rsidR="00FD6058"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El valor del Consumo de capital fijo proviene</w:t>
            </w:r>
            <w:r w:rsidR="00E734C4">
              <w:rPr>
                <w:rFonts w:asciiTheme="minorHAnsi" w:eastAsiaTheme="minorHAnsi" w:hAnsiTheme="minorHAnsi" w:cs="Arial"/>
                <w:bCs/>
                <w:color w:val="000000"/>
                <w:szCs w:val="22"/>
              </w:rPr>
              <w:t xml:space="preserve"> </w:t>
            </w:r>
            <w:r w:rsidR="00E734C4" w:rsidRPr="003A1D44">
              <w:rPr>
                <w:rFonts w:asciiTheme="minorHAnsi" w:eastAsiaTheme="minorHAnsi" w:hAnsiTheme="minorHAnsi" w:cs="Arial"/>
                <w:bCs/>
                <w:color w:val="000000"/>
                <w:szCs w:val="22"/>
              </w:rPr>
              <w:t>de</w:t>
            </w:r>
            <w:r>
              <w:rPr>
                <w:rFonts w:asciiTheme="minorHAnsi" w:eastAsiaTheme="minorHAnsi" w:hAnsiTheme="minorHAnsi" w:cs="Arial"/>
                <w:bCs/>
                <w:color w:val="000000"/>
                <w:szCs w:val="22"/>
              </w:rPr>
              <w:t xml:space="preserve"> la cuenta </w:t>
            </w:r>
            <w:r w:rsidRPr="00D21358">
              <w:rPr>
                <w:rFonts w:asciiTheme="minorHAnsi" w:eastAsiaTheme="minorHAnsi" w:hAnsiTheme="minorHAnsi" w:cs="Arial"/>
                <w:bCs/>
                <w:color w:val="000000"/>
                <w:szCs w:val="22"/>
                <w:lang w:val="es-EC"/>
              </w:rPr>
              <w:t>I. CUENTA DE PRODUCCIÓN</w:t>
            </w:r>
          </w:p>
          <w:p w:rsidR="004C708F" w:rsidRPr="008020C1"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P.51c = </w:t>
            </w:r>
            <w:r w:rsidR="003A1D44">
              <w:rPr>
                <w:rFonts w:asciiTheme="minorHAnsi" w:eastAsiaTheme="minorHAnsi" w:hAnsiTheme="minorHAnsi" w:cs="Arial"/>
                <w:bCs/>
                <w:color w:val="000000"/>
                <w:szCs w:val="22"/>
                <w:lang w:val="es-EC"/>
              </w:rPr>
              <w:t>765</w:t>
            </w:r>
          </w:p>
        </w:tc>
      </w:tr>
      <w:tr w:rsidR="004C708F" w:rsidRPr="00080CCB" w:rsidTr="003A1D44">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  Variaciones de existencias</w:t>
            </w:r>
          </w:p>
        </w:tc>
      </w:tr>
      <w:tr w:rsidR="004C708F" w:rsidRPr="00080CCB" w:rsidTr="003A1D44">
        <w:trPr>
          <w:jc w:val="center"/>
        </w:trPr>
        <w:tc>
          <w:tcPr>
            <w:tcW w:w="9054" w:type="dxa"/>
            <w:gridSpan w:val="4"/>
            <w:shd w:val="clear" w:color="auto" w:fill="auto"/>
            <w:vAlign w:val="center"/>
          </w:tcPr>
          <w:p w:rsidR="006F3C76" w:rsidRPr="006F3C76" w:rsidRDefault="003A1D44"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4C708F" w:rsidRPr="00080CCB" w:rsidTr="003A1D44">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4C708F" w:rsidRPr="00080CCB" w:rsidTr="003A1D44">
        <w:trPr>
          <w:jc w:val="center"/>
        </w:trPr>
        <w:tc>
          <w:tcPr>
            <w:tcW w:w="9054" w:type="dxa"/>
            <w:gridSpan w:val="4"/>
            <w:shd w:val="clear" w:color="auto" w:fill="auto"/>
            <w:vAlign w:val="center"/>
          </w:tcPr>
          <w:p w:rsidR="004C708F" w:rsidRPr="008020C1" w:rsidRDefault="003A1D44"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4C708F" w:rsidRPr="00080CCB" w:rsidTr="003A1D44">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4C708F" w:rsidRPr="00080CCB" w:rsidTr="003A1D44">
        <w:trPr>
          <w:jc w:val="center"/>
        </w:trPr>
        <w:tc>
          <w:tcPr>
            <w:tcW w:w="9054" w:type="dxa"/>
            <w:gridSpan w:val="4"/>
            <w:shd w:val="clear" w:color="auto" w:fill="auto"/>
            <w:vAlign w:val="center"/>
          </w:tcPr>
          <w:p w:rsidR="004C708F" w:rsidRDefault="00E734C4" w:rsidP="003A1D44">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No aplica </w:t>
            </w:r>
          </w:p>
          <w:p w:rsidR="00DF3D8D" w:rsidRPr="008020C1" w:rsidRDefault="00DF3D8D" w:rsidP="003A1D44">
            <w:pPr>
              <w:spacing w:before="120" w:after="120"/>
              <w:jc w:val="both"/>
              <w:rPr>
                <w:rFonts w:asciiTheme="minorHAnsi" w:eastAsiaTheme="minorHAnsi" w:hAnsiTheme="minorHAnsi" w:cs="Arial"/>
                <w:bCs/>
                <w:color w:val="000000"/>
                <w:szCs w:val="22"/>
              </w:rPr>
            </w:pPr>
          </w:p>
        </w:tc>
      </w:tr>
      <w:tr w:rsidR="004C708F" w:rsidRPr="00080CCB" w:rsidTr="003A1D44">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lastRenderedPageBreak/>
              <w:t>B.9</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4C708F" w:rsidRPr="00D0251C" w:rsidTr="003A1D44">
        <w:trPr>
          <w:jc w:val="center"/>
        </w:trPr>
        <w:tc>
          <w:tcPr>
            <w:tcW w:w="9054" w:type="dxa"/>
            <w:gridSpan w:val="4"/>
            <w:shd w:val="clear" w:color="auto" w:fill="auto"/>
            <w:vAlign w:val="center"/>
          </w:tcPr>
          <w:p w:rsidR="00D0251C" w:rsidRPr="0018477A" w:rsidRDefault="00DF3D8D" w:rsidP="00D0251C">
            <w:pPr>
              <w:shd w:val="clear" w:color="auto" w:fill="FFFFFF" w:themeFill="background1"/>
              <w:spacing w:before="120" w:after="120"/>
              <w:rPr>
                <w:color w:val="000000"/>
                <w:szCs w:val="22"/>
                <w:lang w:val="en-US"/>
              </w:rPr>
            </w:pPr>
            <w:r>
              <w:rPr>
                <w:b/>
                <w:noProof/>
                <w:color w:val="000000"/>
                <w:sz w:val="6"/>
                <w:szCs w:val="22"/>
                <w:lang w:val="es-EC" w:eastAsia="es-EC"/>
              </w:rPr>
              <w:pict>
                <v:shape id="_x0000_s1029" type="#_x0000_t87" style="position:absolute;margin-left:227pt;margin-top:-62.9pt;width:4.95pt;height:171.8pt;rotation:270;z-index:251663360;mso-position-horizontal-relative:text;mso-position-vertical-relative:text"/>
              </w:pict>
            </w:r>
            <w:r>
              <w:rPr>
                <w:b/>
                <w:noProof/>
                <w:color w:val="000000"/>
                <w:sz w:val="6"/>
                <w:szCs w:val="22"/>
                <w:lang w:val="es-EC" w:eastAsia="es-EC"/>
              </w:rPr>
              <w:pict>
                <v:shape id="_x0000_s1028" type="#_x0000_t87" style="position:absolute;margin-left:75.25pt;margin-top:-25.7pt;width:4.95pt;height:97.35pt;rotation:270;z-index:251662336;mso-position-horizontal-relative:text;mso-position-vertical-relative:text"/>
              </w:pict>
            </w:r>
            <w:r w:rsidR="00D0251C"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D0251C" w:rsidRPr="00AF1749" w:rsidRDefault="00D0251C" w:rsidP="00D0251C">
            <w:pPr>
              <w:shd w:val="clear" w:color="auto" w:fill="FFFFFF" w:themeFill="background1"/>
              <w:spacing w:before="120" w:after="120"/>
              <w:rPr>
                <w:color w:val="000000"/>
                <w:sz w:val="2"/>
                <w:szCs w:val="22"/>
                <w:lang w:val="en-US"/>
              </w:rPr>
            </w:pPr>
          </w:p>
          <w:p w:rsidR="00D0251C" w:rsidRPr="009F021A" w:rsidRDefault="00D0251C" w:rsidP="00D0251C">
            <w:pPr>
              <w:shd w:val="clear" w:color="auto" w:fill="FFFFFF" w:themeFill="background1"/>
              <w:spacing w:before="120" w:after="120"/>
              <w:rPr>
                <w:color w:val="000000"/>
                <w:szCs w:val="22"/>
                <w:lang w:val="es-EC"/>
              </w:rPr>
            </w:pPr>
            <w:r w:rsidRPr="001B7317">
              <w:rPr>
                <w:rFonts w:asciiTheme="minorHAnsi" w:eastAsiaTheme="minorEastAsia" w:hAnsiTheme="minorHAnsi" w:cs="Arial"/>
                <w:bCs/>
                <w:color w:val="000000"/>
                <w:szCs w:val="22"/>
                <w:lang w:val="en-US"/>
              </w:rPr>
              <w:t xml:space="preserve">         </w:t>
            </w:r>
            <w:r w:rsidRPr="001B7317">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D0251C" w:rsidRPr="00D0251C" w:rsidRDefault="00D0251C" w:rsidP="00D0251C">
            <w:pPr>
              <w:shd w:val="clear" w:color="auto" w:fill="FFFFFF" w:themeFill="background1"/>
              <w:spacing w:before="120" w:after="120"/>
              <w:rPr>
                <w:rFonts w:asciiTheme="minorHAnsi" w:hAnsiTheme="minorHAnsi"/>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
                </m:rPr>
                <w:rPr>
                  <w:rFonts w:ascii="Cambria Math" w:eastAsiaTheme="minorHAnsi" w:hAnsi="Cambria Math" w:cs="Arial"/>
                  <w:color w:val="000000"/>
                  <w:szCs w:val="22"/>
                  <w:lang w:val="es-EC"/>
                </w:rPr>
                <m:t>9</m:t>
              </m:r>
              <m:r>
                <m:rPr>
                  <m:sty m:val="p"/>
                </m:rPr>
                <w:rPr>
                  <w:rFonts w:ascii="Cambria Math" w:eastAsiaTheme="minorHAnsi" w:hAnsi="Cambria Math" w:cs="Arial"/>
                  <w:color w:val="000000"/>
                  <w:szCs w:val="22"/>
                  <w:lang w:val="en-US"/>
                </w:rPr>
                <m:t>=Ahorro neto+Transferencias de capital recibidas-Transferencias de capital pagadas-Formación bruta de capital fijo+Consumo de capital fijo-Variaciones de existencias-Adquisiciones menos disposiciones de objetos valiosos-Adquisición menos disposiciones de activos no financieros no producidos</m:t>
              </m:r>
            </m:oMath>
          </w:p>
          <w:p w:rsidR="00D0251C" w:rsidRPr="0018477A" w:rsidRDefault="00D0251C" w:rsidP="00D0251C">
            <w:pPr>
              <w:shd w:val="clear" w:color="auto" w:fill="FFFFFF" w:themeFill="background1"/>
              <w:spacing w:before="120" w:after="120"/>
              <w:rPr>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003A1D44" w:rsidRPr="003A1D44">
              <w:rPr>
                <w:rFonts w:ascii="Calibri" w:hAnsi="Calibri"/>
                <w:color w:val="000000"/>
                <w:szCs w:val="22"/>
                <w:lang w:val="en-US"/>
              </w:rPr>
              <w:t>11.609</w:t>
            </w:r>
            <m:oMath>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oMath>
          </w:p>
          <w:p w:rsidR="004C708F" w:rsidRPr="00D0251C" w:rsidRDefault="00D0251C" w:rsidP="004919A3">
            <w:pPr>
              <w:spacing w:before="120" w:after="120"/>
              <w:jc w:val="both"/>
              <w:rPr>
                <w:rFonts w:asciiTheme="minorHAnsi" w:eastAsiaTheme="minorHAnsi" w:hAnsiTheme="minorHAnsi" w:cs="Arial"/>
                <w:b/>
                <w:bCs/>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Pr>
                <w:rFonts w:ascii="Calibri" w:hAnsi="Calibri"/>
                <w:color w:val="000000"/>
                <w:szCs w:val="22"/>
                <w:lang w:val="en-US"/>
              </w:rPr>
              <w:t xml:space="preserve"> </w:t>
            </w:r>
            <w:r w:rsidR="003A1D44" w:rsidRPr="003A1D44">
              <w:rPr>
                <w:rFonts w:ascii="Calibri" w:hAnsi="Calibri"/>
                <w:color w:val="000000"/>
                <w:szCs w:val="22"/>
                <w:lang w:val="en-US"/>
              </w:rPr>
              <w:t>12.374</w:t>
            </w:r>
          </w:p>
        </w:tc>
      </w:tr>
      <w:tr w:rsidR="004C708F" w:rsidRPr="00080CCB" w:rsidTr="003A1D44">
        <w:trPr>
          <w:jc w:val="center"/>
        </w:trPr>
        <w:tc>
          <w:tcPr>
            <w:tcW w:w="9054" w:type="dxa"/>
            <w:gridSpan w:val="4"/>
            <w:shd w:val="clear" w:color="auto" w:fill="DBE5F1"/>
            <w:vAlign w:val="center"/>
          </w:tcPr>
          <w:p w:rsidR="004C708F" w:rsidRPr="00410A0A" w:rsidRDefault="004C708F"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7. LIMITACIONES TÉCNICAS</w:t>
            </w:r>
          </w:p>
        </w:tc>
      </w:tr>
      <w:tr w:rsidR="004C708F" w:rsidRPr="00080CCB" w:rsidTr="003A1D44">
        <w:trPr>
          <w:jc w:val="center"/>
        </w:trPr>
        <w:tc>
          <w:tcPr>
            <w:tcW w:w="9054" w:type="dxa"/>
            <w:gridSpan w:val="4"/>
            <w:shd w:val="clear" w:color="auto" w:fill="FFFFFF" w:themeFill="background1"/>
            <w:vAlign w:val="center"/>
          </w:tcPr>
          <w:p w:rsidR="004C708F" w:rsidRPr="007344A9" w:rsidRDefault="001611F8" w:rsidP="007344A9">
            <w:pPr>
              <w:shd w:val="clear" w:color="auto" w:fill="FFFFFF" w:themeFill="background1"/>
              <w:spacing w:before="120" w:after="120"/>
              <w:rPr>
                <w:rFonts w:asciiTheme="minorHAnsi" w:hAnsiTheme="minorHAnsi" w:cs="Arial"/>
              </w:rPr>
            </w:pPr>
            <w:r w:rsidRPr="00384BA7">
              <w:rPr>
                <w:rFonts w:asciiTheme="minorHAnsi" w:hAnsiTheme="minorHAnsi" w:cs="Arial"/>
              </w:rPr>
              <w:t xml:space="preserve">Las entidades que suministran la información de Base (registros administrativos), se nieguen a proporcionar  o  </w:t>
            </w:r>
            <w:r>
              <w:rPr>
                <w:rFonts w:asciiTheme="minorHAnsi" w:hAnsiTheme="minorHAnsi" w:cs="Arial"/>
              </w:rPr>
              <w:t xml:space="preserve">no </w:t>
            </w:r>
            <w:r w:rsidR="003A1D44" w:rsidRPr="003A1D44">
              <w:rPr>
                <w:rFonts w:asciiTheme="minorHAnsi" w:hAnsiTheme="minorHAnsi" w:cs="Arial"/>
              </w:rPr>
              <w:t>entreguen</w:t>
            </w:r>
            <w:r w:rsidRPr="003A1D44">
              <w:rPr>
                <w:rFonts w:asciiTheme="minorHAnsi" w:hAnsiTheme="minorHAnsi" w:cs="Arial"/>
              </w:rPr>
              <w:t xml:space="preserve"> e</w:t>
            </w:r>
            <w:r w:rsidRPr="00384BA7">
              <w:rPr>
                <w:rFonts w:asciiTheme="minorHAnsi" w:hAnsiTheme="minorHAnsi" w:cs="Arial"/>
              </w:rPr>
              <w:t>n tiempo establecido.</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3559" w:type="dxa"/>
            <w:vAlign w:val="center"/>
          </w:tcPr>
          <w:p w:rsidR="004C708F" w:rsidRPr="00080CCB" w:rsidRDefault="004C708F" w:rsidP="009036BF">
            <w:pPr>
              <w:jc w:val="both"/>
              <w:rPr>
                <w:rFonts w:asciiTheme="minorHAnsi" w:hAnsiTheme="minorHAnsi" w:cs="Arial"/>
                <w:szCs w:val="22"/>
              </w:rPr>
            </w:pPr>
            <w:r>
              <w:rPr>
                <w:rFonts w:asciiTheme="minorHAnsi" w:hAnsiTheme="minorHAnsi" w:cs="Arial"/>
                <w:szCs w:val="22"/>
              </w:rPr>
              <w:t xml:space="preserve">Miles de dólares </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559" w:type="dxa"/>
            <w:shd w:val="clear" w:color="auto" w:fill="FFFFFF" w:themeFill="background1"/>
            <w:vAlign w:val="center"/>
          </w:tcPr>
          <w:p w:rsidR="004C708F" w:rsidRPr="00326516" w:rsidRDefault="007344A9" w:rsidP="001611F8">
            <w:pPr>
              <w:autoSpaceDE w:val="0"/>
              <w:autoSpaceDN w:val="0"/>
              <w:adjustRightInd w:val="0"/>
              <w:jc w:val="both"/>
              <w:rPr>
                <w:rFonts w:asciiTheme="minorHAnsi" w:hAnsiTheme="minorHAnsi" w:cs="Arial"/>
                <w:szCs w:val="22"/>
                <w:lang w:val="es-EC"/>
              </w:rPr>
            </w:pPr>
            <w:r>
              <w:rPr>
                <w:rFonts w:asciiTheme="minorHAnsi" w:hAnsiTheme="minorHAnsi" w:cs="Arial"/>
                <w:szCs w:val="22"/>
                <w:lang w:val="es-EC"/>
              </w:rPr>
              <w:t>No aplica</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3559" w:type="dxa"/>
            <w:shd w:val="clear" w:color="auto" w:fill="FFFFFF" w:themeFill="background1"/>
            <w:vAlign w:val="center"/>
          </w:tcPr>
          <w:p w:rsidR="004C708F" w:rsidRPr="001611F8" w:rsidRDefault="003A1D44" w:rsidP="001611F8">
            <w:pPr>
              <w:jc w:val="both"/>
              <w:rPr>
                <w:rFonts w:asciiTheme="minorHAnsi" w:hAnsiTheme="minorHAnsi" w:cs="Arial"/>
                <w:szCs w:val="22"/>
              </w:rPr>
            </w:pPr>
            <w:r>
              <w:rPr>
                <w:rFonts w:asciiTheme="minorHAnsi" w:eastAsiaTheme="minorHAnsi" w:hAnsiTheme="minorHAnsi" w:cs="Arial"/>
                <w:bCs/>
                <w:color w:val="000000"/>
                <w:szCs w:val="22"/>
                <w:lang w:val="es-EC"/>
              </w:rPr>
              <w:t>Superintendencia Compañías y Seguros</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PERIODICIDAD DEL INDICADOR</w:t>
            </w:r>
          </w:p>
        </w:tc>
        <w:tc>
          <w:tcPr>
            <w:tcW w:w="3559" w:type="dxa"/>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Anual</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559" w:type="dxa"/>
            <w:vAlign w:val="center"/>
          </w:tcPr>
          <w:p w:rsidR="004C708F" w:rsidRPr="00A815F6" w:rsidRDefault="004C708F" w:rsidP="00A815F6">
            <w:pPr>
              <w:spacing w:before="120" w:after="120"/>
              <w:jc w:val="both"/>
              <w:rPr>
                <w:rFonts w:asciiTheme="minorHAnsi" w:hAnsiTheme="minorHAnsi" w:cs="Arial"/>
                <w:szCs w:val="22"/>
              </w:rPr>
            </w:pPr>
            <w:r w:rsidRPr="00A815F6">
              <w:rPr>
                <w:rFonts w:asciiTheme="minorHAnsi" w:hAnsiTheme="minorHAnsi" w:cs="Arial"/>
                <w:szCs w:val="22"/>
              </w:rPr>
              <w:t>Existe un riesgo al no disponer de un convenio con las Instituciones que entregan la información</w:t>
            </w:r>
          </w:p>
        </w:tc>
      </w:tr>
      <w:tr w:rsidR="004C708F" w:rsidRPr="00080CCB" w:rsidTr="003A1D44">
        <w:trPr>
          <w:jc w:val="center"/>
        </w:trPr>
        <w:tc>
          <w:tcPr>
            <w:tcW w:w="3652" w:type="dxa"/>
            <w:vMerge w:val="restart"/>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r w:rsidRPr="00080CCB">
              <w:rPr>
                <w:rFonts w:asciiTheme="minorHAnsi" w:hAnsiTheme="minorHAnsi" w:cs="Arial"/>
                <w:b/>
                <w:bCs/>
                <w:szCs w:val="22"/>
              </w:rPr>
              <w:t>NIVEL DE</w:t>
            </w:r>
          </w:p>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Nacional</w:t>
            </w:r>
          </w:p>
        </w:tc>
      </w:tr>
      <w:tr w:rsidR="004C708F" w:rsidRPr="00080CCB" w:rsidTr="003A1D44">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Sectores institucionales</w:t>
            </w:r>
          </w:p>
        </w:tc>
      </w:tr>
      <w:tr w:rsidR="004C708F" w:rsidRPr="00080CCB" w:rsidTr="003A1D44">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Unidades institucionales</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No aplica</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lastRenderedPageBreak/>
              <w:t>RELACIÓN CON INSTRUMENTOS DE PLANIFICACIÓN NACIONAL E INTERNACIONAL</w:t>
            </w:r>
          </w:p>
        </w:tc>
        <w:tc>
          <w:tcPr>
            <w:tcW w:w="3559" w:type="dxa"/>
            <w:shd w:val="clear" w:color="auto" w:fill="auto"/>
            <w:vAlign w:val="center"/>
          </w:tcPr>
          <w:p w:rsidR="001611F8" w:rsidRPr="00951384" w:rsidRDefault="001611F8" w:rsidP="001611F8">
            <w:pPr>
              <w:spacing w:before="120" w:after="120"/>
              <w:mirrorIndents/>
              <w:jc w:val="both"/>
              <w:rPr>
                <w:rFonts w:asciiTheme="minorHAnsi" w:hAnsiTheme="minorHAnsi" w:cs="Arial"/>
                <w:szCs w:val="22"/>
                <w:lang w:val="es-EC"/>
              </w:rPr>
            </w:pPr>
            <w:r w:rsidRPr="003A1D44">
              <w:rPr>
                <w:rFonts w:asciiTheme="minorHAnsi" w:hAnsiTheme="minorHAnsi" w:cs="Arial"/>
                <w:szCs w:val="22"/>
                <w:lang w:val="es-EC"/>
              </w:rPr>
              <w:t>Es</w:t>
            </w:r>
            <w:r w:rsidRPr="00951384">
              <w:rPr>
                <w:rFonts w:asciiTheme="minorHAnsi" w:hAnsiTheme="minorHAnsi" w:cs="Arial"/>
                <w:szCs w:val="22"/>
                <w:lang w:val="es-EC"/>
              </w:rPr>
              <w:t xml:space="preserve"> una herramienta estadística  importante para la formulación, implementación y evaluación de las políticas del gobierno, contribuye al cumplimiento de los objetivos del Plan Nacional del Buen Vivir 2013-2017. </w:t>
            </w:r>
          </w:p>
          <w:p w:rsidR="001611F8" w:rsidRPr="00951384" w:rsidRDefault="001611F8" w:rsidP="001611F8">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El Objetivo 1 “Consolidar el Estado democrático y la construcción del poder popular” alineado a las Políticas y lineamientos estratégicos siguientes:</w:t>
            </w:r>
          </w:p>
          <w:p w:rsidR="004C708F" w:rsidRPr="00A815F6" w:rsidRDefault="001611F8" w:rsidP="001611F8">
            <w:pPr>
              <w:spacing w:before="120" w:after="120"/>
              <w:jc w:val="both"/>
              <w:rPr>
                <w:rFonts w:asciiTheme="minorHAnsi" w:hAnsiTheme="minorHAnsi" w:cs="Arial"/>
                <w:szCs w:val="22"/>
                <w:lang w:val="es-EC"/>
              </w:rPr>
            </w:pPr>
            <w:r w:rsidRPr="00257061">
              <w:rPr>
                <w:rFonts w:asciiTheme="minorHAnsi" w:eastAsia="Calibri" w:hAnsiTheme="minorHAnsi"/>
                <w:i/>
                <w:iCs/>
                <w:szCs w:val="22"/>
                <w:lang w:val="es-EC" w:eastAsia="es-EC"/>
              </w:rPr>
              <w:t>Objetivo 2</w:t>
            </w:r>
            <w:r w:rsidRPr="00257061">
              <w:rPr>
                <w:rFonts w:asciiTheme="minorHAnsi" w:eastAsia="Calibri" w:hAnsiTheme="minorHAnsi"/>
                <w:szCs w:val="22"/>
                <w:lang w:val="es-EC" w:eastAsia="es-EC"/>
              </w:rPr>
              <w:t>: “Auspiciar la igualdad, la cohesión, la inclusión y la equidad social y territorial, en la diversidad”</w:t>
            </w:r>
            <w:r w:rsidRPr="00951384">
              <w:rPr>
                <w:rFonts w:asciiTheme="minorHAnsi" w:hAnsiTheme="minorHAnsi" w:cs="Arial"/>
                <w:szCs w:val="22"/>
                <w:lang w:val="es-EC"/>
              </w:rPr>
              <w:t>.</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REFERENCIAS BIBLIOGRÁFICAS DE LA CONSTRUCCIÓN DEL INDICADOR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eastAsiaTheme="minorHAnsi" w:hAnsiTheme="minorHAnsi"/>
                <w:szCs w:val="22"/>
                <w:lang w:val="es-EC"/>
              </w:rPr>
              <w:t>Naciones Unidas. Sistema de Cuentas Nacionales 2008 (SCN 2008).</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ELABORACIÓN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559" w:type="dxa"/>
            <w:shd w:val="clear" w:color="auto" w:fill="auto"/>
            <w:vAlign w:val="center"/>
          </w:tcPr>
          <w:p w:rsidR="004C708F" w:rsidRPr="004909B4" w:rsidRDefault="004C708F" w:rsidP="004909B4">
            <w:pPr>
              <w:spacing w:before="120"/>
              <w:rPr>
                <w:rFonts w:asciiTheme="minorHAnsi" w:hAnsiTheme="minorHAnsi" w:cs="Arial"/>
                <w:szCs w:val="22"/>
              </w:rPr>
            </w:pPr>
            <w:r w:rsidRPr="004909B4">
              <w:rPr>
                <w:rFonts w:asciiTheme="minorHAnsi" w:hAnsiTheme="minorHAnsi" w:cs="Arial"/>
                <w:szCs w:val="22"/>
              </w:rPr>
              <w:t>Dominio 1: 1.4 Salud</w:t>
            </w:r>
          </w:p>
          <w:p w:rsidR="004C708F" w:rsidRPr="004909B4" w:rsidRDefault="004C708F" w:rsidP="004909B4">
            <w:pPr>
              <w:spacing w:after="120"/>
              <w:rPr>
                <w:rFonts w:asciiTheme="minorHAnsi" w:hAnsiTheme="minorHAnsi" w:cs="Arial"/>
                <w:szCs w:val="22"/>
              </w:rPr>
            </w:pPr>
            <w:r w:rsidRPr="004909B4">
              <w:rPr>
                <w:rFonts w:asciiTheme="minorHAnsi" w:hAnsiTheme="minorHAnsi" w:cs="Arial"/>
                <w:szCs w:val="22"/>
              </w:rPr>
              <w:t>Dominio 2: 2.2 Cuentas económicas</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Miembros de Equipo ASIN</w:t>
            </w:r>
          </w:p>
        </w:tc>
      </w:tr>
      <w:tr w:rsidR="004C708F" w:rsidRPr="00080CCB" w:rsidTr="003A1D44">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María Soledad Carvajal Ruiz</w:t>
            </w:r>
          </w:p>
        </w:tc>
      </w:tr>
      <w:tr w:rsidR="004C708F" w:rsidRPr="00080CCB" w:rsidTr="003A1D44">
        <w:trPr>
          <w:jc w:val="center"/>
        </w:trPr>
        <w:tc>
          <w:tcPr>
            <w:tcW w:w="5495" w:type="dxa"/>
            <w:gridSpan w:val="3"/>
            <w:shd w:val="clear" w:color="auto" w:fill="DBE5F1"/>
            <w:vAlign w:val="center"/>
          </w:tcPr>
          <w:p w:rsidR="004C708F"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Jaime  Gerardo Salcedo Bastidas</w:t>
            </w:r>
          </w:p>
        </w:tc>
      </w:tr>
    </w:tbl>
    <w:p w:rsidR="007D52DD" w:rsidRPr="00080CCB" w:rsidRDefault="007D52DD" w:rsidP="009036BF">
      <w:pPr>
        <w:jc w:val="both"/>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4909B4">
            <w:pPr>
              <w:spacing w:before="120" w:after="120"/>
              <w:jc w:val="center"/>
              <w:rPr>
                <w:rFonts w:asciiTheme="minorHAnsi" w:hAnsiTheme="minorHAnsi" w:cs="Arial"/>
                <w:szCs w:val="22"/>
              </w:rPr>
            </w:pPr>
            <w:r w:rsidRPr="00080CCB">
              <w:rPr>
                <w:rFonts w:asciiTheme="minorHAnsi" w:hAnsiTheme="minorHAnsi" w:cs="Arial"/>
                <w:b/>
                <w:bCs/>
                <w:szCs w:val="22"/>
              </w:rPr>
              <w:lastRenderedPageBreak/>
              <w:t>SINTAXIS</w:t>
            </w:r>
          </w:p>
        </w:tc>
      </w:tr>
      <w:tr w:rsidR="007D52DD" w:rsidRPr="00080CCB" w:rsidTr="001E61E6">
        <w:tc>
          <w:tcPr>
            <w:tcW w:w="8978" w:type="dxa"/>
            <w:gridSpan w:val="2"/>
            <w:vAlign w:val="center"/>
          </w:tcPr>
          <w:p w:rsidR="007D52DD" w:rsidRPr="00080CCB" w:rsidRDefault="007D52DD" w:rsidP="009036BF">
            <w:pPr>
              <w:jc w:val="both"/>
              <w:rPr>
                <w:rFonts w:asciiTheme="minorHAnsi" w:hAnsiTheme="minorHAnsi" w:cs="Arial"/>
                <w:szCs w:val="22"/>
              </w:rPr>
            </w:pPr>
          </w:p>
          <w:p w:rsidR="007D52DD" w:rsidRPr="00080CCB" w:rsidRDefault="007D52DD" w:rsidP="009036BF">
            <w:pPr>
              <w:jc w:val="both"/>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9036BF">
            <w:pPr>
              <w:pStyle w:val="Default"/>
              <w:spacing w:before="60"/>
              <w:jc w:val="both"/>
              <w:rPr>
                <w:rFonts w:asciiTheme="minorHAnsi" w:hAnsiTheme="minorHAnsi"/>
                <w:sz w:val="22"/>
                <w:szCs w:val="22"/>
              </w:rPr>
            </w:pPr>
            <w:r w:rsidRPr="00080CCB">
              <w:rPr>
                <w:rFonts w:asciiTheme="minorHAnsi" w:hAnsiTheme="minorHAnsi"/>
                <w:b/>
                <w:bCs/>
                <w:sz w:val="22"/>
                <w:szCs w:val="22"/>
              </w:rPr>
              <w:t>AÑO DE REFERENCIA DE LA SINTAXIS</w:t>
            </w:r>
          </w:p>
        </w:tc>
        <w:tc>
          <w:tcPr>
            <w:tcW w:w="4508" w:type="dxa"/>
            <w:vAlign w:val="center"/>
          </w:tcPr>
          <w:p w:rsidR="007D52DD" w:rsidRPr="00080CCB" w:rsidRDefault="007D52DD" w:rsidP="009036BF">
            <w:pPr>
              <w:jc w:val="both"/>
              <w:rPr>
                <w:rFonts w:asciiTheme="minorHAnsi" w:hAnsiTheme="minorHAnsi" w:cs="Arial"/>
                <w:szCs w:val="22"/>
              </w:rPr>
            </w:pPr>
          </w:p>
        </w:tc>
      </w:tr>
    </w:tbl>
    <w:p w:rsidR="007D52DD" w:rsidRPr="00080CCB" w:rsidRDefault="007D52DD" w:rsidP="004909B4">
      <w:pPr>
        <w:jc w:val="both"/>
        <w:rPr>
          <w:rFonts w:asciiTheme="minorHAnsi" w:hAnsiTheme="minorHAnsi"/>
          <w:sz w:val="22"/>
          <w:szCs w:val="22"/>
        </w:rPr>
      </w:pPr>
      <w:bookmarkStart w:id="0" w:name="_GoBack"/>
      <w:bookmarkEnd w:id="0"/>
    </w:p>
    <w:sectPr w:rsidR="007D52DD" w:rsidRPr="00080CCB" w:rsidSect="00662EE0">
      <w:headerReference w:type="default" r:id="rId9"/>
      <w:pgSz w:w="12240" w:h="15840"/>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D09" w:rsidRDefault="00710D09" w:rsidP="007C0272">
      <w:r>
        <w:separator/>
      </w:r>
    </w:p>
  </w:endnote>
  <w:endnote w:type="continuationSeparator" w:id="0">
    <w:p w:rsidR="00710D09" w:rsidRDefault="00710D09"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D09" w:rsidRDefault="00710D09" w:rsidP="007C0272">
      <w:r>
        <w:separator/>
      </w:r>
    </w:p>
  </w:footnote>
  <w:footnote w:type="continuationSeparator" w:id="0">
    <w:p w:rsidR="00710D09" w:rsidRDefault="00710D09"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19"/>
      <w:gridCol w:w="922"/>
      <w:gridCol w:w="4086"/>
      <w:gridCol w:w="1605"/>
    </w:tblGrid>
    <w:tr w:rsidR="00E43228" w:rsidRPr="004B60A7" w:rsidTr="0002037C">
      <w:trPr>
        <w:trHeight w:val="277"/>
      </w:trPr>
      <w:tc>
        <w:tcPr>
          <w:tcW w:w="2419" w:type="dxa"/>
          <w:vMerge w:val="restart"/>
          <w:shd w:val="clear" w:color="auto" w:fill="auto"/>
        </w:tcPr>
        <w:p w:rsidR="00E43228" w:rsidRPr="004B60A7" w:rsidRDefault="00E43228" w:rsidP="006A39CE">
          <w:pPr>
            <w:jc w:val="center"/>
            <w:rPr>
              <w:b/>
              <w:u w:val="single"/>
            </w:rPr>
          </w:pPr>
          <w:r>
            <w:rPr>
              <w:noProof/>
              <w:lang w:val="es-EC" w:eastAsia="es-EC"/>
            </w:rPr>
            <w:drawing>
              <wp:anchor distT="0" distB="0" distL="114300" distR="114300" simplePos="0" relativeHeight="251658240" behindDoc="0" locked="0" layoutInCell="1" allowOverlap="1" wp14:anchorId="043234E7" wp14:editId="15242FDA">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922" w:type="dxa"/>
          <w:vMerge w:val="restart"/>
          <w:shd w:val="clear" w:color="auto" w:fill="auto"/>
          <w:vAlign w:val="center"/>
        </w:tcPr>
        <w:p w:rsidR="00E43228" w:rsidRPr="009329F8" w:rsidRDefault="00E43228" w:rsidP="006A39CE">
          <w:pPr>
            <w:jc w:val="center"/>
            <w:rPr>
              <w:rFonts w:ascii="Century Gothic" w:hAnsi="Century Gothic"/>
              <w:b/>
              <w:sz w:val="16"/>
            </w:rPr>
          </w:pPr>
          <w:r w:rsidRPr="009329F8">
            <w:rPr>
              <w:rFonts w:ascii="Century Gothic" w:hAnsi="Century Gothic"/>
              <w:b/>
              <w:sz w:val="16"/>
            </w:rPr>
            <w:t>FICHA METODOLÓGICA</w:t>
          </w:r>
        </w:p>
      </w:tc>
      <w:tc>
        <w:tcPr>
          <w:tcW w:w="4086" w:type="dxa"/>
          <w:vAlign w:val="center"/>
        </w:tcPr>
        <w:p w:rsidR="00E43228" w:rsidRPr="009329F8" w:rsidRDefault="002521D1" w:rsidP="002521D1">
          <w:pPr>
            <w:tabs>
              <w:tab w:val="right" w:pos="2253"/>
            </w:tabs>
            <w:rPr>
              <w:rFonts w:ascii="Century Gothic" w:hAnsi="Century Gothic"/>
              <w:b/>
              <w:sz w:val="16"/>
            </w:rPr>
          </w:pPr>
          <w:r w:rsidRPr="009329F8">
            <w:rPr>
              <w:rFonts w:ascii="Century Gothic" w:hAnsi="Century Gothic"/>
              <w:b/>
              <w:sz w:val="16"/>
            </w:rPr>
            <w:t xml:space="preserve">Nombre: </w:t>
          </w:r>
          <w:r w:rsidR="00E43228" w:rsidRPr="009329F8">
            <w:rPr>
              <w:rFonts w:ascii="Century Gothic" w:hAnsi="Century Gothic"/>
              <w:b/>
              <w:sz w:val="16"/>
            </w:rPr>
            <w:t>Cuenta</w:t>
          </w:r>
          <w:r w:rsidR="001F2010">
            <w:rPr>
              <w:rFonts w:ascii="Century Gothic" w:hAnsi="Century Gothic"/>
              <w:b/>
              <w:sz w:val="16"/>
            </w:rPr>
            <w:t>s</w:t>
          </w:r>
          <w:r w:rsidR="00E43228" w:rsidRPr="009329F8">
            <w:rPr>
              <w:rFonts w:ascii="Century Gothic" w:hAnsi="Century Gothic"/>
              <w:b/>
              <w:sz w:val="16"/>
            </w:rPr>
            <w:t xml:space="preserve"> Satélite</w:t>
          </w:r>
          <w:r w:rsidRPr="009329F8">
            <w:rPr>
              <w:rFonts w:ascii="Century Gothic" w:hAnsi="Century Gothic"/>
              <w:b/>
              <w:sz w:val="16"/>
            </w:rPr>
            <w:t xml:space="preserve"> </w:t>
          </w:r>
          <w:r w:rsidR="00E43228" w:rsidRPr="009329F8">
            <w:rPr>
              <w:rFonts w:ascii="Century Gothic" w:hAnsi="Century Gothic"/>
              <w:b/>
              <w:sz w:val="16"/>
            </w:rPr>
            <w:t>de Salud</w:t>
          </w:r>
          <w:r w:rsidR="00D53653">
            <w:rPr>
              <w:rFonts w:ascii="Century Gothic" w:hAnsi="Century Gothic"/>
              <w:b/>
              <w:sz w:val="16"/>
            </w:rPr>
            <w:t xml:space="preserve"> (CSS)</w:t>
          </w:r>
        </w:p>
      </w:tc>
      <w:tc>
        <w:tcPr>
          <w:tcW w:w="1605" w:type="dxa"/>
          <w:shd w:val="clear" w:color="auto" w:fill="auto"/>
          <w:vAlign w:val="center"/>
        </w:tcPr>
        <w:p w:rsidR="00E43228" w:rsidRPr="00F75E05" w:rsidRDefault="00D2342C" w:rsidP="00DF3D8D">
          <w:pPr>
            <w:tabs>
              <w:tab w:val="right" w:pos="2253"/>
            </w:tabs>
            <w:jc w:val="center"/>
            <w:rPr>
              <w:rFonts w:ascii="Century Gothic" w:hAnsi="Century Gothic"/>
              <w:sz w:val="16"/>
              <w:highlight w:val="yellow"/>
            </w:rPr>
          </w:pPr>
          <w:r w:rsidRPr="00307B2E">
            <w:rPr>
              <w:rFonts w:ascii="Century Gothic" w:hAnsi="Century Gothic"/>
              <w:b/>
              <w:sz w:val="16"/>
            </w:rPr>
            <w:t>Versión</w:t>
          </w:r>
          <w:r w:rsidR="00307B2E" w:rsidRPr="00307B2E">
            <w:rPr>
              <w:rFonts w:ascii="Century Gothic" w:hAnsi="Century Gothic"/>
              <w:b/>
              <w:sz w:val="16"/>
            </w:rPr>
            <w:t xml:space="preserve"> 1</w:t>
          </w:r>
        </w:p>
      </w:tc>
    </w:tr>
    <w:tr w:rsidR="00546ACE" w:rsidRPr="004B60A7" w:rsidTr="0002037C">
      <w:trPr>
        <w:trHeight w:val="281"/>
      </w:trPr>
      <w:tc>
        <w:tcPr>
          <w:tcW w:w="2419" w:type="dxa"/>
          <w:vMerge/>
          <w:shd w:val="clear" w:color="auto" w:fill="auto"/>
        </w:tcPr>
        <w:p w:rsidR="00546ACE" w:rsidRPr="00F9306E" w:rsidRDefault="00546ACE" w:rsidP="006A39CE">
          <w:pPr>
            <w:jc w:val="center"/>
            <w:rPr>
              <w:noProof/>
              <w:lang w:eastAsia="es-EC"/>
            </w:rPr>
          </w:pPr>
        </w:p>
      </w:tc>
      <w:tc>
        <w:tcPr>
          <w:tcW w:w="922" w:type="dxa"/>
          <w:vMerge/>
          <w:shd w:val="clear" w:color="auto" w:fill="auto"/>
        </w:tcPr>
        <w:p w:rsidR="00546ACE" w:rsidRPr="009329F8" w:rsidRDefault="00546ACE" w:rsidP="006A39CE">
          <w:pPr>
            <w:jc w:val="center"/>
            <w:rPr>
              <w:rFonts w:ascii="Century Gothic" w:hAnsi="Century Gothic"/>
              <w:b/>
              <w:sz w:val="16"/>
              <w:u w:val="single"/>
            </w:rPr>
          </w:pPr>
        </w:p>
      </w:tc>
      <w:tc>
        <w:tcPr>
          <w:tcW w:w="4086" w:type="dxa"/>
          <w:vAlign w:val="center"/>
        </w:tcPr>
        <w:p w:rsidR="003A1D44" w:rsidRPr="009329F8" w:rsidRDefault="003A1D44" w:rsidP="001F2010">
          <w:pPr>
            <w:tabs>
              <w:tab w:val="right" w:pos="2253"/>
            </w:tabs>
            <w:spacing w:before="120"/>
            <w:rPr>
              <w:rFonts w:ascii="Century Gothic" w:hAnsi="Century Gothic"/>
              <w:sz w:val="16"/>
            </w:rPr>
          </w:pPr>
          <w:r w:rsidRPr="009329F8">
            <w:rPr>
              <w:rFonts w:ascii="Century Gothic" w:hAnsi="Century Gothic"/>
              <w:b/>
              <w:sz w:val="16"/>
            </w:rPr>
            <w:t xml:space="preserve">SECTOR </w:t>
          </w:r>
          <w:r w:rsidRPr="006A1C70">
            <w:rPr>
              <w:rFonts w:ascii="Century Gothic" w:hAnsi="Century Gothic"/>
              <w:b/>
              <w:sz w:val="16"/>
            </w:rPr>
            <w:t>INSTITUCIONAL:</w:t>
          </w:r>
          <w:r w:rsidRPr="006A1C70">
            <w:rPr>
              <w:rFonts w:ascii="Century Gothic" w:hAnsi="Century Gothic"/>
              <w:sz w:val="16"/>
            </w:rPr>
            <w:t xml:space="preserve"> S12</w:t>
          </w:r>
          <w:r>
            <w:rPr>
              <w:rFonts w:ascii="Century Gothic" w:hAnsi="Century Gothic"/>
              <w:sz w:val="16"/>
            </w:rPr>
            <w:t xml:space="preserve"> Sociedades Financieras</w:t>
          </w:r>
        </w:p>
        <w:p w:rsidR="003A1D44" w:rsidRPr="009329F8" w:rsidRDefault="003A1D44" w:rsidP="003A1D44">
          <w:pPr>
            <w:tabs>
              <w:tab w:val="right" w:pos="2253"/>
            </w:tabs>
            <w:rPr>
              <w:rFonts w:ascii="Century Gothic" w:hAnsi="Century Gothic"/>
              <w:b/>
              <w:sz w:val="16"/>
            </w:rPr>
          </w:pPr>
          <w:r w:rsidRPr="009329F8">
            <w:rPr>
              <w:rFonts w:ascii="Century Gothic" w:hAnsi="Century Gothic"/>
              <w:b/>
              <w:sz w:val="16"/>
            </w:rPr>
            <w:t>Nivel 2:</w:t>
          </w:r>
          <w:r>
            <w:rPr>
              <w:rFonts w:ascii="Century Gothic" w:hAnsi="Century Gothic"/>
              <w:b/>
              <w:sz w:val="16"/>
            </w:rPr>
            <w:t xml:space="preserve"> </w:t>
          </w:r>
        </w:p>
        <w:p w:rsidR="003A1D44" w:rsidRPr="009329F8" w:rsidRDefault="003A1D44" w:rsidP="003A1D44">
          <w:pPr>
            <w:tabs>
              <w:tab w:val="right" w:pos="2253"/>
            </w:tabs>
            <w:rPr>
              <w:rFonts w:ascii="Century Gothic" w:hAnsi="Century Gothic"/>
              <w:b/>
              <w:sz w:val="16"/>
            </w:rPr>
          </w:pPr>
          <w:r w:rsidRPr="009329F8">
            <w:rPr>
              <w:rFonts w:ascii="Century Gothic" w:hAnsi="Century Gothic"/>
              <w:b/>
              <w:sz w:val="16"/>
            </w:rPr>
            <w:t>Nivel 3</w:t>
          </w:r>
          <w:r>
            <w:rPr>
              <w:rFonts w:ascii="Century Gothic" w:hAnsi="Century Gothic"/>
              <w:b/>
              <w:sz w:val="16"/>
            </w:rPr>
            <w:t xml:space="preserve">: </w:t>
          </w:r>
        </w:p>
        <w:p w:rsidR="003A1D44" w:rsidRDefault="003A1D44" w:rsidP="003A1D44">
          <w:pPr>
            <w:tabs>
              <w:tab w:val="right" w:pos="2253"/>
            </w:tabs>
            <w:rPr>
              <w:rFonts w:ascii="Century Gothic" w:hAnsi="Century Gothic"/>
              <w:b/>
              <w:sz w:val="16"/>
            </w:rPr>
          </w:pPr>
          <w:r w:rsidRPr="009329F8">
            <w:rPr>
              <w:rFonts w:ascii="Century Gothic" w:hAnsi="Century Gothic"/>
              <w:b/>
              <w:sz w:val="16"/>
            </w:rPr>
            <w:t>Nivel 4</w:t>
          </w:r>
          <w:r>
            <w:rPr>
              <w:rFonts w:ascii="Century Gothic" w:hAnsi="Century Gothic"/>
              <w:b/>
              <w:sz w:val="16"/>
            </w:rPr>
            <w:t xml:space="preserve">: </w:t>
          </w:r>
        </w:p>
        <w:p w:rsidR="00546ACE" w:rsidRPr="003A1D44" w:rsidRDefault="003A1D44" w:rsidP="001F2010">
          <w:pPr>
            <w:tabs>
              <w:tab w:val="right" w:pos="2253"/>
            </w:tabs>
            <w:spacing w:after="120"/>
            <w:rPr>
              <w:rFonts w:ascii="Century Gothic" w:hAnsi="Century Gothic"/>
              <w:b/>
              <w:sz w:val="16"/>
            </w:rPr>
          </w:pPr>
          <w:r w:rsidRPr="001760C9">
            <w:rPr>
              <w:rFonts w:ascii="Century Gothic" w:hAnsi="Century Gothic"/>
              <w:b/>
              <w:sz w:val="16"/>
            </w:rPr>
            <w:t xml:space="preserve">Nivel 5: </w:t>
          </w:r>
          <w:r w:rsidRPr="006A1C70">
            <w:rPr>
              <w:rFonts w:ascii="Century Gothic" w:hAnsi="Century Gothic"/>
              <w:sz w:val="16"/>
            </w:rPr>
            <w:t>Compañías de seguros de enfermedad y accidentes</w:t>
          </w:r>
        </w:p>
      </w:tc>
      <w:tc>
        <w:tcPr>
          <w:tcW w:w="1605" w:type="dxa"/>
          <w:shd w:val="clear" w:color="auto" w:fill="auto"/>
          <w:vAlign w:val="center"/>
        </w:tcPr>
        <w:p w:rsidR="00546ACE" w:rsidRPr="00F75E05" w:rsidRDefault="00546ACE" w:rsidP="0099143B">
          <w:pPr>
            <w:tabs>
              <w:tab w:val="right" w:pos="2253"/>
            </w:tabs>
            <w:rPr>
              <w:rFonts w:ascii="Century Gothic" w:hAnsi="Century Gothic"/>
              <w:sz w:val="16"/>
              <w:highlight w:val="yellow"/>
            </w:rPr>
          </w:pPr>
        </w:p>
      </w:tc>
    </w:tr>
    <w:tr w:rsidR="00307B2E" w:rsidRPr="004B60A7" w:rsidTr="0002037C">
      <w:trPr>
        <w:trHeight w:val="285"/>
      </w:trPr>
      <w:tc>
        <w:tcPr>
          <w:tcW w:w="2419" w:type="dxa"/>
          <w:vMerge/>
          <w:shd w:val="clear" w:color="auto" w:fill="auto"/>
        </w:tcPr>
        <w:p w:rsidR="00307B2E" w:rsidRPr="00F9306E" w:rsidRDefault="00307B2E" w:rsidP="006A39CE">
          <w:pPr>
            <w:jc w:val="center"/>
            <w:rPr>
              <w:noProof/>
              <w:lang w:eastAsia="es-EC"/>
            </w:rPr>
          </w:pPr>
        </w:p>
      </w:tc>
      <w:tc>
        <w:tcPr>
          <w:tcW w:w="922" w:type="dxa"/>
          <w:vMerge/>
          <w:shd w:val="clear" w:color="auto" w:fill="auto"/>
        </w:tcPr>
        <w:p w:rsidR="00307B2E" w:rsidRPr="009329F8" w:rsidRDefault="00307B2E" w:rsidP="006A39CE">
          <w:pPr>
            <w:jc w:val="center"/>
            <w:rPr>
              <w:rFonts w:ascii="Century Gothic" w:hAnsi="Century Gothic"/>
              <w:b/>
              <w:sz w:val="16"/>
              <w:u w:val="single"/>
            </w:rPr>
          </w:pPr>
        </w:p>
      </w:tc>
      <w:tc>
        <w:tcPr>
          <w:tcW w:w="4086" w:type="dxa"/>
          <w:vAlign w:val="center"/>
        </w:tcPr>
        <w:p w:rsidR="00307B2E" w:rsidRPr="009329F8" w:rsidRDefault="00307B2E" w:rsidP="009B5894">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605" w:type="dxa"/>
          <w:shd w:val="clear" w:color="auto" w:fill="auto"/>
          <w:vAlign w:val="center"/>
        </w:tcPr>
        <w:p w:rsidR="00307B2E" w:rsidRPr="00D74A47" w:rsidRDefault="00307B2E" w:rsidP="002B5759">
          <w:pPr>
            <w:tabs>
              <w:tab w:val="right" w:pos="2253"/>
            </w:tabs>
            <w:rPr>
              <w:rFonts w:ascii="Century Gothic" w:hAnsi="Century Gothic"/>
              <w:sz w:val="16"/>
            </w:rPr>
          </w:pPr>
          <w:r>
            <w:rPr>
              <w:rFonts w:ascii="Century Gothic" w:hAnsi="Century Gothic"/>
              <w:sz w:val="16"/>
            </w:rPr>
            <w:t xml:space="preserve">Páginas: </w:t>
          </w:r>
          <w:r w:rsidR="006C1A61" w:rsidRPr="00662EE0">
            <w:rPr>
              <w:rFonts w:ascii="Century Gothic" w:hAnsi="Century Gothic"/>
              <w:sz w:val="16"/>
            </w:rPr>
            <w:fldChar w:fldCharType="begin"/>
          </w:r>
          <w:r w:rsidRPr="00662EE0">
            <w:rPr>
              <w:rFonts w:ascii="Century Gothic" w:hAnsi="Century Gothic"/>
              <w:sz w:val="16"/>
            </w:rPr>
            <w:instrText>PAGE   \* MERGEFORMAT</w:instrText>
          </w:r>
          <w:r w:rsidR="006C1A61" w:rsidRPr="00662EE0">
            <w:rPr>
              <w:rFonts w:ascii="Century Gothic" w:hAnsi="Century Gothic"/>
              <w:sz w:val="16"/>
            </w:rPr>
            <w:fldChar w:fldCharType="separate"/>
          </w:r>
          <w:r w:rsidR="00DF3D8D">
            <w:rPr>
              <w:rFonts w:ascii="Century Gothic" w:hAnsi="Century Gothic"/>
              <w:noProof/>
              <w:sz w:val="16"/>
            </w:rPr>
            <w:t>9</w:t>
          </w:r>
          <w:r w:rsidR="006C1A61" w:rsidRPr="00662EE0">
            <w:rPr>
              <w:rFonts w:ascii="Century Gothic" w:hAnsi="Century Gothic"/>
              <w:sz w:val="16"/>
            </w:rPr>
            <w:fldChar w:fldCharType="end"/>
          </w:r>
          <w:r w:rsidR="00B03422">
            <w:rPr>
              <w:rFonts w:ascii="Century Gothic" w:hAnsi="Century Gothic"/>
              <w:sz w:val="16"/>
            </w:rPr>
            <w:t xml:space="preserve"> de 9</w:t>
          </w:r>
        </w:p>
      </w:tc>
    </w:tr>
  </w:tbl>
  <w:p w:rsidR="001E61E6" w:rsidRPr="007D52DD" w:rsidRDefault="001E61E6">
    <w:pPr>
      <w:pStyle w:val="Encabezado"/>
      <w:rPr>
        <w:lang w:val="es-EC"/>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C5112AF"/>
    <w:multiLevelType w:val="hybridMultilevel"/>
    <w:tmpl w:val="14A415A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42921868"/>
    <w:multiLevelType w:val="hybridMultilevel"/>
    <w:tmpl w:val="25E8B61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47F7906"/>
    <w:multiLevelType w:val="hybridMultilevel"/>
    <w:tmpl w:val="514088EA"/>
    <w:lvl w:ilvl="0" w:tplc="CED08FBE">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46F9125A"/>
    <w:multiLevelType w:val="hybridMultilevel"/>
    <w:tmpl w:val="9A9A98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9D47FC5"/>
    <w:multiLevelType w:val="hybridMultilevel"/>
    <w:tmpl w:val="1E562A4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CB615C3"/>
    <w:multiLevelType w:val="hybridMultilevel"/>
    <w:tmpl w:val="3B68566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4"/>
  </w:num>
  <w:num w:numId="6">
    <w:abstractNumId w:val="15"/>
  </w:num>
  <w:num w:numId="7">
    <w:abstractNumId w:val="1"/>
  </w:num>
  <w:num w:numId="8">
    <w:abstractNumId w:val="4"/>
  </w:num>
  <w:num w:numId="9">
    <w:abstractNumId w:val="2"/>
  </w:num>
  <w:num w:numId="10">
    <w:abstractNumId w:val="5"/>
  </w:num>
  <w:num w:numId="11">
    <w:abstractNumId w:val="12"/>
  </w:num>
  <w:num w:numId="12">
    <w:abstractNumId w:val="16"/>
  </w:num>
  <w:num w:numId="13">
    <w:abstractNumId w:val="7"/>
  </w:num>
  <w:num w:numId="14">
    <w:abstractNumId w:val="3"/>
  </w:num>
  <w:num w:numId="15">
    <w:abstractNumId w:val="8"/>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11624F"/>
    <w:rsid w:val="000078AC"/>
    <w:rsid w:val="000125E5"/>
    <w:rsid w:val="0002037C"/>
    <w:rsid w:val="00033A7C"/>
    <w:rsid w:val="0005695C"/>
    <w:rsid w:val="00060B02"/>
    <w:rsid w:val="000742D5"/>
    <w:rsid w:val="00080CCB"/>
    <w:rsid w:val="0008424A"/>
    <w:rsid w:val="00092BBF"/>
    <w:rsid w:val="000966EA"/>
    <w:rsid w:val="000A1DBE"/>
    <w:rsid w:val="000A5B0A"/>
    <w:rsid w:val="000B3A7F"/>
    <w:rsid w:val="000B50E0"/>
    <w:rsid w:val="000C01D1"/>
    <w:rsid w:val="000E52CE"/>
    <w:rsid w:val="000E5BF3"/>
    <w:rsid w:val="000E7348"/>
    <w:rsid w:val="000F7D81"/>
    <w:rsid w:val="00106810"/>
    <w:rsid w:val="001149C7"/>
    <w:rsid w:val="0011624F"/>
    <w:rsid w:val="00126B61"/>
    <w:rsid w:val="00143242"/>
    <w:rsid w:val="00147221"/>
    <w:rsid w:val="001611F8"/>
    <w:rsid w:val="00175F15"/>
    <w:rsid w:val="0018477A"/>
    <w:rsid w:val="001A5BE5"/>
    <w:rsid w:val="001B7317"/>
    <w:rsid w:val="001C1D16"/>
    <w:rsid w:val="001C2F4E"/>
    <w:rsid w:val="001D1B9D"/>
    <w:rsid w:val="001E61E6"/>
    <w:rsid w:val="001E7447"/>
    <w:rsid w:val="001F2010"/>
    <w:rsid w:val="0021055D"/>
    <w:rsid w:val="00220C0B"/>
    <w:rsid w:val="00231304"/>
    <w:rsid w:val="00234BF0"/>
    <w:rsid w:val="002407A4"/>
    <w:rsid w:val="002520C1"/>
    <w:rsid w:val="002521D1"/>
    <w:rsid w:val="0025612F"/>
    <w:rsid w:val="00260679"/>
    <w:rsid w:val="002702CC"/>
    <w:rsid w:val="00280C9F"/>
    <w:rsid w:val="00282270"/>
    <w:rsid w:val="0029094C"/>
    <w:rsid w:val="002B5759"/>
    <w:rsid w:val="002C328A"/>
    <w:rsid w:val="002D01DF"/>
    <w:rsid w:val="003007DB"/>
    <w:rsid w:val="00304C1A"/>
    <w:rsid w:val="00307B2E"/>
    <w:rsid w:val="00307DBD"/>
    <w:rsid w:val="0031355D"/>
    <w:rsid w:val="003158AE"/>
    <w:rsid w:val="003172DD"/>
    <w:rsid w:val="0032294E"/>
    <w:rsid w:val="00326AF7"/>
    <w:rsid w:val="0033324C"/>
    <w:rsid w:val="00334F26"/>
    <w:rsid w:val="0034018B"/>
    <w:rsid w:val="003749C8"/>
    <w:rsid w:val="003759E7"/>
    <w:rsid w:val="00381919"/>
    <w:rsid w:val="00383E83"/>
    <w:rsid w:val="00390A3A"/>
    <w:rsid w:val="00397EF7"/>
    <w:rsid w:val="003A1D44"/>
    <w:rsid w:val="003A3092"/>
    <w:rsid w:val="003C2F4C"/>
    <w:rsid w:val="003D5B36"/>
    <w:rsid w:val="004045C8"/>
    <w:rsid w:val="00410A0A"/>
    <w:rsid w:val="00420C88"/>
    <w:rsid w:val="0043045D"/>
    <w:rsid w:val="0043464C"/>
    <w:rsid w:val="00435C50"/>
    <w:rsid w:val="00454593"/>
    <w:rsid w:val="00455041"/>
    <w:rsid w:val="00463DEB"/>
    <w:rsid w:val="004724C7"/>
    <w:rsid w:val="00474BB1"/>
    <w:rsid w:val="004759AF"/>
    <w:rsid w:val="00482714"/>
    <w:rsid w:val="004909B4"/>
    <w:rsid w:val="004910A1"/>
    <w:rsid w:val="004944A6"/>
    <w:rsid w:val="00496E62"/>
    <w:rsid w:val="004B0704"/>
    <w:rsid w:val="004C2B0C"/>
    <w:rsid w:val="004C57A3"/>
    <w:rsid w:val="004C708F"/>
    <w:rsid w:val="004D2642"/>
    <w:rsid w:val="004D2EAC"/>
    <w:rsid w:val="004D6539"/>
    <w:rsid w:val="004D6B36"/>
    <w:rsid w:val="004E034B"/>
    <w:rsid w:val="004E31D0"/>
    <w:rsid w:val="004E6558"/>
    <w:rsid w:val="004F163C"/>
    <w:rsid w:val="00503695"/>
    <w:rsid w:val="00512183"/>
    <w:rsid w:val="00517F5E"/>
    <w:rsid w:val="0052601B"/>
    <w:rsid w:val="00546ACE"/>
    <w:rsid w:val="00552DBA"/>
    <w:rsid w:val="0056330D"/>
    <w:rsid w:val="00566D13"/>
    <w:rsid w:val="005804C1"/>
    <w:rsid w:val="0059078C"/>
    <w:rsid w:val="00594B3C"/>
    <w:rsid w:val="005A0489"/>
    <w:rsid w:val="005B1B02"/>
    <w:rsid w:val="005C3B2F"/>
    <w:rsid w:val="005C7E91"/>
    <w:rsid w:val="005D1462"/>
    <w:rsid w:val="005E3C40"/>
    <w:rsid w:val="005F236D"/>
    <w:rsid w:val="005F52C7"/>
    <w:rsid w:val="00613189"/>
    <w:rsid w:val="00617CF3"/>
    <w:rsid w:val="00627F54"/>
    <w:rsid w:val="006305C2"/>
    <w:rsid w:val="006379DF"/>
    <w:rsid w:val="00640E99"/>
    <w:rsid w:val="0064134D"/>
    <w:rsid w:val="00662EE0"/>
    <w:rsid w:val="00675E9A"/>
    <w:rsid w:val="006A0385"/>
    <w:rsid w:val="006A39CE"/>
    <w:rsid w:val="006A7E9A"/>
    <w:rsid w:val="006C1A61"/>
    <w:rsid w:val="006C380F"/>
    <w:rsid w:val="006C6235"/>
    <w:rsid w:val="006E11AE"/>
    <w:rsid w:val="006E4721"/>
    <w:rsid w:val="006F3C76"/>
    <w:rsid w:val="00710B5F"/>
    <w:rsid w:val="00710D09"/>
    <w:rsid w:val="007132C2"/>
    <w:rsid w:val="007344A9"/>
    <w:rsid w:val="007415AB"/>
    <w:rsid w:val="00746C3F"/>
    <w:rsid w:val="00747426"/>
    <w:rsid w:val="00757B9E"/>
    <w:rsid w:val="00765141"/>
    <w:rsid w:val="00792D00"/>
    <w:rsid w:val="007979B3"/>
    <w:rsid w:val="007A15C7"/>
    <w:rsid w:val="007C0272"/>
    <w:rsid w:val="007D05E6"/>
    <w:rsid w:val="007D52DD"/>
    <w:rsid w:val="007E7852"/>
    <w:rsid w:val="008020C1"/>
    <w:rsid w:val="0080228D"/>
    <w:rsid w:val="00810A61"/>
    <w:rsid w:val="00811A80"/>
    <w:rsid w:val="008125A1"/>
    <w:rsid w:val="00815427"/>
    <w:rsid w:val="00845F7D"/>
    <w:rsid w:val="00850B6F"/>
    <w:rsid w:val="008511E9"/>
    <w:rsid w:val="00865EB3"/>
    <w:rsid w:val="008C48AE"/>
    <w:rsid w:val="008D4B7D"/>
    <w:rsid w:val="008D5409"/>
    <w:rsid w:val="008F3734"/>
    <w:rsid w:val="009036BF"/>
    <w:rsid w:val="00906FC9"/>
    <w:rsid w:val="009329F8"/>
    <w:rsid w:val="00935CAD"/>
    <w:rsid w:val="009523A7"/>
    <w:rsid w:val="00965ED3"/>
    <w:rsid w:val="0096637E"/>
    <w:rsid w:val="009700F1"/>
    <w:rsid w:val="00977559"/>
    <w:rsid w:val="009822CB"/>
    <w:rsid w:val="00983BC7"/>
    <w:rsid w:val="0099143B"/>
    <w:rsid w:val="00994BB6"/>
    <w:rsid w:val="009A3DF6"/>
    <w:rsid w:val="009B153C"/>
    <w:rsid w:val="009B32D8"/>
    <w:rsid w:val="009B45FF"/>
    <w:rsid w:val="009C0A42"/>
    <w:rsid w:val="009D569B"/>
    <w:rsid w:val="009E1C68"/>
    <w:rsid w:val="009F47E1"/>
    <w:rsid w:val="00A228EE"/>
    <w:rsid w:val="00A42298"/>
    <w:rsid w:val="00A47768"/>
    <w:rsid w:val="00A53142"/>
    <w:rsid w:val="00A61238"/>
    <w:rsid w:val="00A74FDC"/>
    <w:rsid w:val="00A815F6"/>
    <w:rsid w:val="00A87C60"/>
    <w:rsid w:val="00A91DF0"/>
    <w:rsid w:val="00A94DA6"/>
    <w:rsid w:val="00AB1C70"/>
    <w:rsid w:val="00AC49A3"/>
    <w:rsid w:val="00AC7899"/>
    <w:rsid w:val="00AD5299"/>
    <w:rsid w:val="00AF088F"/>
    <w:rsid w:val="00AF1749"/>
    <w:rsid w:val="00AF22B1"/>
    <w:rsid w:val="00AF3335"/>
    <w:rsid w:val="00B02350"/>
    <w:rsid w:val="00B03422"/>
    <w:rsid w:val="00B07A11"/>
    <w:rsid w:val="00B103A4"/>
    <w:rsid w:val="00B146DB"/>
    <w:rsid w:val="00B467E5"/>
    <w:rsid w:val="00B56717"/>
    <w:rsid w:val="00BA04B9"/>
    <w:rsid w:val="00BB0EEC"/>
    <w:rsid w:val="00BB4335"/>
    <w:rsid w:val="00BB4705"/>
    <w:rsid w:val="00BB5585"/>
    <w:rsid w:val="00BD3421"/>
    <w:rsid w:val="00BE0FAE"/>
    <w:rsid w:val="00BE38BC"/>
    <w:rsid w:val="00BF786C"/>
    <w:rsid w:val="00C17FA6"/>
    <w:rsid w:val="00C25FEC"/>
    <w:rsid w:val="00C323E0"/>
    <w:rsid w:val="00C332B3"/>
    <w:rsid w:val="00C37654"/>
    <w:rsid w:val="00C37F28"/>
    <w:rsid w:val="00C47A1F"/>
    <w:rsid w:val="00C55373"/>
    <w:rsid w:val="00C60AC8"/>
    <w:rsid w:val="00C62662"/>
    <w:rsid w:val="00C640EC"/>
    <w:rsid w:val="00C72478"/>
    <w:rsid w:val="00C769E6"/>
    <w:rsid w:val="00C80DB2"/>
    <w:rsid w:val="00CA0B07"/>
    <w:rsid w:val="00CA6AC4"/>
    <w:rsid w:val="00CC1DA9"/>
    <w:rsid w:val="00CE0885"/>
    <w:rsid w:val="00CF3AED"/>
    <w:rsid w:val="00D01F56"/>
    <w:rsid w:val="00D0251C"/>
    <w:rsid w:val="00D076DC"/>
    <w:rsid w:val="00D107FD"/>
    <w:rsid w:val="00D1396F"/>
    <w:rsid w:val="00D21358"/>
    <w:rsid w:val="00D232EC"/>
    <w:rsid w:val="00D2342C"/>
    <w:rsid w:val="00D27611"/>
    <w:rsid w:val="00D423CB"/>
    <w:rsid w:val="00D44900"/>
    <w:rsid w:val="00D51F26"/>
    <w:rsid w:val="00D53653"/>
    <w:rsid w:val="00D537B8"/>
    <w:rsid w:val="00D7232B"/>
    <w:rsid w:val="00D81074"/>
    <w:rsid w:val="00D914BC"/>
    <w:rsid w:val="00D96841"/>
    <w:rsid w:val="00DA2882"/>
    <w:rsid w:val="00DC5743"/>
    <w:rsid w:val="00DE05FC"/>
    <w:rsid w:val="00DE7C6B"/>
    <w:rsid w:val="00DF1A67"/>
    <w:rsid w:val="00DF3D8D"/>
    <w:rsid w:val="00DF3E82"/>
    <w:rsid w:val="00DF7424"/>
    <w:rsid w:val="00E01A1A"/>
    <w:rsid w:val="00E0227D"/>
    <w:rsid w:val="00E05721"/>
    <w:rsid w:val="00E05929"/>
    <w:rsid w:val="00E06821"/>
    <w:rsid w:val="00E07F23"/>
    <w:rsid w:val="00E11153"/>
    <w:rsid w:val="00E16229"/>
    <w:rsid w:val="00E30EE0"/>
    <w:rsid w:val="00E37032"/>
    <w:rsid w:val="00E43228"/>
    <w:rsid w:val="00E618AF"/>
    <w:rsid w:val="00E67789"/>
    <w:rsid w:val="00E734C4"/>
    <w:rsid w:val="00E946C1"/>
    <w:rsid w:val="00E97D08"/>
    <w:rsid w:val="00EA1C13"/>
    <w:rsid w:val="00EA4FAC"/>
    <w:rsid w:val="00EC1EA9"/>
    <w:rsid w:val="00EC2629"/>
    <w:rsid w:val="00EC6B26"/>
    <w:rsid w:val="00ED1F22"/>
    <w:rsid w:val="00ED41DB"/>
    <w:rsid w:val="00F3035E"/>
    <w:rsid w:val="00F35F13"/>
    <w:rsid w:val="00F41B6C"/>
    <w:rsid w:val="00F41C1B"/>
    <w:rsid w:val="00F544E3"/>
    <w:rsid w:val="00F65A2D"/>
    <w:rsid w:val="00F74952"/>
    <w:rsid w:val="00F759F2"/>
    <w:rsid w:val="00F75E05"/>
    <w:rsid w:val="00F75E8E"/>
    <w:rsid w:val="00F803F1"/>
    <w:rsid w:val="00F805E8"/>
    <w:rsid w:val="00F979E6"/>
    <w:rsid w:val="00FB1226"/>
    <w:rsid w:val="00FD6058"/>
    <w:rsid w:val="00FF090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 w:type="character" w:styleId="Hipervnculo">
    <w:name w:val="Hyperlink"/>
    <w:basedOn w:val="Fuentedeprrafopredeter"/>
    <w:uiPriority w:val="99"/>
    <w:semiHidden/>
    <w:unhideWhenUsed/>
    <w:rsid w:val="002702CC"/>
    <w:rPr>
      <w:color w:val="0000FF"/>
      <w:u w:val="single"/>
    </w:rPr>
  </w:style>
  <w:style w:type="character" w:styleId="Hipervnculovisitado">
    <w:name w:val="FollowedHyperlink"/>
    <w:basedOn w:val="Fuentedeprrafopredeter"/>
    <w:uiPriority w:val="99"/>
    <w:semiHidden/>
    <w:unhideWhenUsed/>
    <w:rsid w:val="002702CC"/>
    <w:rPr>
      <w:color w:val="800080"/>
      <w:u w:val="single"/>
    </w:rPr>
  </w:style>
  <w:style w:type="paragraph" w:customStyle="1" w:styleId="xl65">
    <w:name w:val="xl65"/>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s-EC" w:eastAsia="es-EC"/>
    </w:rPr>
  </w:style>
  <w:style w:type="paragraph" w:customStyle="1" w:styleId="xl66">
    <w:name w:val="xl66"/>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s-EC" w:eastAsia="es-EC"/>
    </w:rPr>
  </w:style>
  <w:style w:type="paragraph" w:customStyle="1" w:styleId="xl67">
    <w:name w:val="xl67"/>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s-EC" w:eastAsia="es-EC"/>
    </w:rPr>
  </w:style>
  <w:style w:type="paragraph" w:customStyle="1" w:styleId="xl68">
    <w:name w:val="xl68"/>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s-EC" w:eastAsia="es-EC"/>
    </w:rPr>
  </w:style>
  <w:style w:type="paragraph" w:customStyle="1" w:styleId="xl69">
    <w:name w:val="xl69"/>
    <w:basedOn w:val="Normal"/>
    <w:rsid w:val="002702CC"/>
    <w:pPr>
      <w:spacing w:before="100" w:beforeAutospacing="1" w:after="100" w:afterAutospacing="1"/>
      <w:textAlignment w:val="center"/>
    </w:pPr>
    <w:rPr>
      <w:sz w:val="18"/>
      <w:szCs w:val="18"/>
      <w:lang w:val="es-EC" w:eastAsia="es-EC"/>
    </w:rPr>
  </w:style>
  <w:style w:type="paragraph" w:customStyle="1" w:styleId="xl70">
    <w:name w:val="xl70"/>
    <w:basedOn w:val="Normal"/>
    <w:rsid w:val="002702CC"/>
    <w:pPr>
      <w:spacing w:before="100" w:beforeAutospacing="1" w:after="100" w:afterAutospacing="1"/>
      <w:jc w:val="center"/>
      <w:textAlignment w:val="center"/>
    </w:pPr>
    <w:rPr>
      <w:sz w:val="18"/>
      <w:szCs w:val="18"/>
      <w:lang w:val="es-EC" w:eastAsia="es-EC"/>
    </w:rPr>
  </w:style>
  <w:style w:type="paragraph" w:customStyle="1" w:styleId="xl71">
    <w:name w:val="xl71"/>
    <w:basedOn w:val="Normal"/>
    <w:rsid w:val="002702CC"/>
    <w:pPr>
      <w:spacing w:before="100" w:beforeAutospacing="1" w:after="100" w:afterAutospacing="1"/>
      <w:textAlignment w:val="center"/>
    </w:pPr>
    <w:rPr>
      <w:sz w:val="18"/>
      <w:szCs w:val="18"/>
      <w:lang w:val="es-EC" w:eastAsia="es-EC"/>
    </w:rPr>
  </w:style>
  <w:style w:type="paragraph" w:customStyle="1" w:styleId="xl72">
    <w:name w:val="xl72"/>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es-EC" w:eastAsia="es-EC"/>
    </w:rPr>
  </w:style>
  <w:style w:type="paragraph" w:customStyle="1" w:styleId="xl73">
    <w:name w:val="xl73"/>
    <w:basedOn w:val="Normal"/>
    <w:rsid w:val="002702CC"/>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s-EC" w:eastAsia="es-EC"/>
    </w:rPr>
  </w:style>
  <w:style w:type="paragraph" w:customStyle="1" w:styleId="xl74">
    <w:name w:val="xl74"/>
    <w:basedOn w:val="Normal"/>
    <w:rsid w:val="002702CC"/>
    <w:pPr>
      <w:pBdr>
        <w:top w:val="single" w:sz="4" w:space="0" w:color="auto"/>
        <w:left w:val="single" w:sz="4" w:space="0" w:color="auto"/>
        <w:bottom w:val="single" w:sz="4" w:space="0" w:color="auto"/>
      </w:pBdr>
      <w:spacing w:before="100" w:beforeAutospacing="1" w:after="100" w:afterAutospacing="1"/>
      <w:textAlignment w:val="center"/>
    </w:pPr>
    <w:rPr>
      <w:sz w:val="18"/>
      <w:szCs w:val="18"/>
      <w:lang w:val="es-EC" w:eastAsia="es-EC"/>
    </w:rPr>
  </w:style>
  <w:style w:type="paragraph" w:customStyle="1" w:styleId="xl75">
    <w:name w:val="xl75"/>
    <w:basedOn w:val="Normal"/>
    <w:rsid w:val="002702CC"/>
    <w:pPr>
      <w:pBdr>
        <w:top w:val="single" w:sz="4" w:space="0" w:color="auto"/>
        <w:bottom w:val="single" w:sz="4" w:space="0" w:color="auto"/>
      </w:pBdr>
      <w:spacing w:before="100" w:beforeAutospacing="1" w:after="100" w:afterAutospacing="1"/>
      <w:textAlignment w:val="center"/>
    </w:pPr>
    <w:rPr>
      <w:sz w:val="18"/>
      <w:szCs w:val="18"/>
      <w:lang w:val="es-EC" w:eastAsia="es-EC"/>
    </w:rPr>
  </w:style>
  <w:style w:type="paragraph" w:customStyle="1" w:styleId="xl76">
    <w:name w:val="xl76"/>
    <w:basedOn w:val="Normal"/>
    <w:rsid w:val="002702CC"/>
    <w:pPr>
      <w:pBdr>
        <w:top w:val="single" w:sz="4" w:space="0" w:color="auto"/>
        <w:bottom w:val="single" w:sz="4" w:space="0" w:color="auto"/>
        <w:right w:val="single" w:sz="4" w:space="0" w:color="auto"/>
      </w:pBdr>
      <w:spacing w:before="100" w:beforeAutospacing="1" w:after="100" w:afterAutospacing="1"/>
      <w:textAlignment w:val="center"/>
    </w:pPr>
    <w:rPr>
      <w:sz w:val="18"/>
      <w:szCs w:val="18"/>
      <w:lang w:val="es-EC"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22">
      <w:bodyDiv w:val="1"/>
      <w:marLeft w:val="0"/>
      <w:marRight w:val="0"/>
      <w:marTop w:val="0"/>
      <w:marBottom w:val="0"/>
      <w:divBdr>
        <w:top w:val="none" w:sz="0" w:space="0" w:color="auto"/>
        <w:left w:val="none" w:sz="0" w:space="0" w:color="auto"/>
        <w:bottom w:val="none" w:sz="0" w:space="0" w:color="auto"/>
        <w:right w:val="none" w:sz="0" w:space="0" w:color="auto"/>
      </w:divBdr>
    </w:div>
    <w:div w:id="4787962">
      <w:bodyDiv w:val="1"/>
      <w:marLeft w:val="0"/>
      <w:marRight w:val="0"/>
      <w:marTop w:val="0"/>
      <w:marBottom w:val="0"/>
      <w:divBdr>
        <w:top w:val="none" w:sz="0" w:space="0" w:color="auto"/>
        <w:left w:val="none" w:sz="0" w:space="0" w:color="auto"/>
        <w:bottom w:val="none" w:sz="0" w:space="0" w:color="auto"/>
        <w:right w:val="none" w:sz="0" w:space="0" w:color="auto"/>
      </w:divBdr>
    </w:div>
    <w:div w:id="53822129">
      <w:bodyDiv w:val="1"/>
      <w:marLeft w:val="0"/>
      <w:marRight w:val="0"/>
      <w:marTop w:val="0"/>
      <w:marBottom w:val="0"/>
      <w:divBdr>
        <w:top w:val="none" w:sz="0" w:space="0" w:color="auto"/>
        <w:left w:val="none" w:sz="0" w:space="0" w:color="auto"/>
        <w:bottom w:val="none" w:sz="0" w:space="0" w:color="auto"/>
        <w:right w:val="none" w:sz="0" w:space="0" w:color="auto"/>
      </w:divBdr>
    </w:div>
    <w:div w:id="56756433">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28284787">
      <w:bodyDiv w:val="1"/>
      <w:marLeft w:val="0"/>
      <w:marRight w:val="0"/>
      <w:marTop w:val="0"/>
      <w:marBottom w:val="0"/>
      <w:divBdr>
        <w:top w:val="none" w:sz="0" w:space="0" w:color="auto"/>
        <w:left w:val="none" w:sz="0" w:space="0" w:color="auto"/>
        <w:bottom w:val="none" w:sz="0" w:space="0" w:color="auto"/>
        <w:right w:val="none" w:sz="0" w:space="0" w:color="auto"/>
      </w:divBdr>
    </w:div>
    <w:div w:id="148448585">
      <w:bodyDiv w:val="1"/>
      <w:marLeft w:val="0"/>
      <w:marRight w:val="0"/>
      <w:marTop w:val="0"/>
      <w:marBottom w:val="0"/>
      <w:divBdr>
        <w:top w:val="none" w:sz="0" w:space="0" w:color="auto"/>
        <w:left w:val="none" w:sz="0" w:space="0" w:color="auto"/>
        <w:bottom w:val="none" w:sz="0" w:space="0" w:color="auto"/>
        <w:right w:val="none" w:sz="0" w:space="0" w:color="auto"/>
      </w:divBdr>
    </w:div>
    <w:div w:id="169836539">
      <w:bodyDiv w:val="1"/>
      <w:marLeft w:val="0"/>
      <w:marRight w:val="0"/>
      <w:marTop w:val="0"/>
      <w:marBottom w:val="0"/>
      <w:divBdr>
        <w:top w:val="none" w:sz="0" w:space="0" w:color="auto"/>
        <w:left w:val="none" w:sz="0" w:space="0" w:color="auto"/>
        <w:bottom w:val="none" w:sz="0" w:space="0" w:color="auto"/>
        <w:right w:val="none" w:sz="0" w:space="0" w:color="auto"/>
      </w:divBdr>
    </w:div>
    <w:div w:id="256528256">
      <w:bodyDiv w:val="1"/>
      <w:marLeft w:val="0"/>
      <w:marRight w:val="0"/>
      <w:marTop w:val="0"/>
      <w:marBottom w:val="0"/>
      <w:divBdr>
        <w:top w:val="none" w:sz="0" w:space="0" w:color="auto"/>
        <w:left w:val="none" w:sz="0" w:space="0" w:color="auto"/>
        <w:bottom w:val="none" w:sz="0" w:space="0" w:color="auto"/>
        <w:right w:val="none" w:sz="0" w:space="0" w:color="auto"/>
      </w:divBdr>
    </w:div>
    <w:div w:id="288972951">
      <w:bodyDiv w:val="1"/>
      <w:marLeft w:val="0"/>
      <w:marRight w:val="0"/>
      <w:marTop w:val="0"/>
      <w:marBottom w:val="0"/>
      <w:divBdr>
        <w:top w:val="none" w:sz="0" w:space="0" w:color="auto"/>
        <w:left w:val="none" w:sz="0" w:space="0" w:color="auto"/>
        <w:bottom w:val="none" w:sz="0" w:space="0" w:color="auto"/>
        <w:right w:val="none" w:sz="0" w:space="0" w:color="auto"/>
      </w:divBdr>
    </w:div>
    <w:div w:id="338585738">
      <w:bodyDiv w:val="1"/>
      <w:marLeft w:val="0"/>
      <w:marRight w:val="0"/>
      <w:marTop w:val="0"/>
      <w:marBottom w:val="0"/>
      <w:divBdr>
        <w:top w:val="none" w:sz="0" w:space="0" w:color="auto"/>
        <w:left w:val="none" w:sz="0" w:space="0" w:color="auto"/>
        <w:bottom w:val="none" w:sz="0" w:space="0" w:color="auto"/>
        <w:right w:val="none" w:sz="0" w:space="0" w:color="auto"/>
      </w:divBdr>
    </w:div>
    <w:div w:id="363793674">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35441368">
      <w:bodyDiv w:val="1"/>
      <w:marLeft w:val="0"/>
      <w:marRight w:val="0"/>
      <w:marTop w:val="0"/>
      <w:marBottom w:val="0"/>
      <w:divBdr>
        <w:top w:val="none" w:sz="0" w:space="0" w:color="auto"/>
        <w:left w:val="none" w:sz="0" w:space="0" w:color="auto"/>
        <w:bottom w:val="none" w:sz="0" w:space="0" w:color="auto"/>
        <w:right w:val="none" w:sz="0" w:space="0" w:color="auto"/>
      </w:divBdr>
    </w:div>
    <w:div w:id="444741109">
      <w:bodyDiv w:val="1"/>
      <w:marLeft w:val="0"/>
      <w:marRight w:val="0"/>
      <w:marTop w:val="0"/>
      <w:marBottom w:val="0"/>
      <w:divBdr>
        <w:top w:val="none" w:sz="0" w:space="0" w:color="auto"/>
        <w:left w:val="none" w:sz="0" w:space="0" w:color="auto"/>
        <w:bottom w:val="none" w:sz="0" w:space="0" w:color="auto"/>
        <w:right w:val="none" w:sz="0" w:space="0" w:color="auto"/>
      </w:divBdr>
    </w:div>
    <w:div w:id="450635533">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538393683">
      <w:bodyDiv w:val="1"/>
      <w:marLeft w:val="0"/>
      <w:marRight w:val="0"/>
      <w:marTop w:val="0"/>
      <w:marBottom w:val="0"/>
      <w:divBdr>
        <w:top w:val="none" w:sz="0" w:space="0" w:color="auto"/>
        <w:left w:val="none" w:sz="0" w:space="0" w:color="auto"/>
        <w:bottom w:val="none" w:sz="0" w:space="0" w:color="auto"/>
        <w:right w:val="none" w:sz="0" w:space="0" w:color="auto"/>
      </w:divBdr>
    </w:div>
    <w:div w:id="550265135">
      <w:bodyDiv w:val="1"/>
      <w:marLeft w:val="0"/>
      <w:marRight w:val="0"/>
      <w:marTop w:val="0"/>
      <w:marBottom w:val="0"/>
      <w:divBdr>
        <w:top w:val="none" w:sz="0" w:space="0" w:color="auto"/>
        <w:left w:val="none" w:sz="0" w:space="0" w:color="auto"/>
        <w:bottom w:val="none" w:sz="0" w:space="0" w:color="auto"/>
        <w:right w:val="none" w:sz="0" w:space="0" w:color="auto"/>
      </w:divBdr>
    </w:div>
    <w:div w:id="580258273">
      <w:bodyDiv w:val="1"/>
      <w:marLeft w:val="0"/>
      <w:marRight w:val="0"/>
      <w:marTop w:val="0"/>
      <w:marBottom w:val="0"/>
      <w:divBdr>
        <w:top w:val="none" w:sz="0" w:space="0" w:color="auto"/>
        <w:left w:val="none" w:sz="0" w:space="0" w:color="auto"/>
        <w:bottom w:val="none" w:sz="0" w:space="0" w:color="auto"/>
        <w:right w:val="none" w:sz="0" w:space="0" w:color="auto"/>
      </w:divBdr>
    </w:div>
    <w:div w:id="598829225">
      <w:bodyDiv w:val="1"/>
      <w:marLeft w:val="0"/>
      <w:marRight w:val="0"/>
      <w:marTop w:val="0"/>
      <w:marBottom w:val="0"/>
      <w:divBdr>
        <w:top w:val="none" w:sz="0" w:space="0" w:color="auto"/>
        <w:left w:val="none" w:sz="0" w:space="0" w:color="auto"/>
        <w:bottom w:val="none" w:sz="0" w:space="0" w:color="auto"/>
        <w:right w:val="none" w:sz="0" w:space="0" w:color="auto"/>
      </w:divBdr>
    </w:div>
    <w:div w:id="648361558">
      <w:bodyDiv w:val="1"/>
      <w:marLeft w:val="0"/>
      <w:marRight w:val="0"/>
      <w:marTop w:val="0"/>
      <w:marBottom w:val="0"/>
      <w:divBdr>
        <w:top w:val="none" w:sz="0" w:space="0" w:color="auto"/>
        <w:left w:val="none" w:sz="0" w:space="0" w:color="auto"/>
        <w:bottom w:val="none" w:sz="0" w:space="0" w:color="auto"/>
        <w:right w:val="none" w:sz="0" w:space="0" w:color="auto"/>
      </w:divBdr>
    </w:div>
    <w:div w:id="682973573">
      <w:bodyDiv w:val="1"/>
      <w:marLeft w:val="0"/>
      <w:marRight w:val="0"/>
      <w:marTop w:val="0"/>
      <w:marBottom w:val="0"/>
      <w:divBdr>
        <w:top w:val="none" w:sz="0" w:space="0" w:color="auto"/>
        <w:left w:val="none" w:sz="0" w:space="0" w:color="auto"/>
        <w:bottom w:val="none" w:sz="0" w:space="0" w:color="auto"/>
        <w:right w:val="none" w:sz="0" w:space="0" w:color="auto"/>
      </w:divBdr>
    </w:div>
    <w:div w:id="685866194">
      <w:bodyDiv w:val="1"/>
      <w:marLeft w:val="0"/>
      <w:marRight w:val="0"/>
      <w:marTop w:val="0"/>
      <w:marBottom w:val="0"/>
      <w:divBdr>
        <w:top w:val="none" w:sz="0" w:space="0" w:color="auto"/>
        <w:left w:val="none" w:sz="0" w:space="0" w:color="auto"/>
        <w:bottom w:val="none" w:sz="0" w:space="0" w:color="auto"/>
        <w:right w:val="none" w:sz="0" w:space="0" w:color="auto"/>
      </w:divBdr>
    </w:div>
    <w:div w:id="761605912">
      <w:bodyDiv w:val="1"/>
      <w:marLeft w:val="0"/>
      <w:marRight w:val="0"/>
      <w:marTop w:val="0"/>
      <w:marBottom w:val="0"/>
      <w:divBdr>
        <w:top w:val="none" w:sz="0" w:space="0" w:color="auto"/>
        <w:left w:val="none" w:sz="0" w:space="0" w:color="auto"/>
        <w:bottom w:val="none" w:sz="0" w:space="0" w:color="auto"/>
        <w:right w:val="none" w:sz="0" w:space="0" w:color="auto"/>
      </w:divBdr>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03887404">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827283482">
      <w:bodyDiv w:val="1"/>
      <w:marLeft w:val="0"/>
      <w:marRight w:val="0"/>
      <w:marTop w:val="0"/>
      <w:marBottom w:val="0"/>
      <w:divBdr>
        <w:top w:val="none" w:sz="0" w:space="0" w:color="auto"/>
        <w:left w:val="none" w:sz="0" w:space="0" w:color="auto"/>
        <w:bottom w:val="none" w:sz="0" w:space="0" w:color="auto"/>
        <w:right w:val="none" w:sz="0" w:space="0" w:color="auto"/>
      </w:divBdr>
    </w:div>
    <w:div w:id="834686474">
      <w:bodyDiv w:val="1"/>
      <w:marLeft w:val="0"/>
      <w:marRight w:val="0"/>
      <w:marTop w:val="0"/>
      <w:marBottom w:val="0"/>
      <w:divBdr>
        <w:top w:val="none" w:sz="0" w:space="0" w:color="auto"/>
        <w:left w:val="none" w:sz="0" w:space="0" w:color="auto"/>
        <w:bottom w:val="none" w:sz="0" w:space="0" w:color="auto"/>
        <w:right w:val="none" w:sz="0" w:space="0" w:color="auto"/>
      </w:divBdr>
    </w:div>
    <w:div w:id="850920449">
      <w:bodyDiv w:val="1"/>
      <w:marLeft w:val="0"/>
      <w:marRight w:val="0"/>
      <w:marTop w:val="0"/>
      <w:marBottom w:val="0"/>
      <w:divBdr>
        <w:top w:val="none" w:sz="0" w:space="0" w:color="auto"/>
        <w:left w:val="none" w:sz="0" w:space="0" w:color="auto"/>
        <w:bottom w:val="none" w:sz="0" w:space="0" w:color="auto"/>
        <w:right w:val="none" w:sz="0" w:space="0" w:color="auto"/>
      </w:divBdr>
    </w:div>
    <w:div w:id="857810260">
      <w:bodyDiv w:val="1"/>
      <w:marLeft w:val="0"/>
      <w:marRight w:val="0"/>
      <w:marTop w:val="0"/>
      <w:marBottom w:val="0"/>
      <w:divBdr>
        <w:top w:val="none" w:sz="0" w:space="0" w:color="auto"/>
        <w:left w:val="none" w:sz="0" w:space="0" w:color="auto"/>
        <w:bottom w:val="none" w:sz="0" w:space="0" w:color="auto"/>
        <w:right w:val="none" w:sz="0" w:space="0" w:color="auto"/>
      </w:divBdr>
    </w:div>
    <w:div w:id="886138618">
      <w:bodyDiv w:val="1"/>
      <w:marLeft w:val="0"/>
      <w:marRight w:val="0"/>
      <w:marTop w:val="0"/>
      <w:marBottom w:val="0"/>
      <w:divBdr>
        <w:top w:val="none" w:sz="0" w:space="0" w:color="auto"/>
        <w:left w:val="none" w:sz="0" w:space="0" w:color="auto"/>
        <w:bottom w:val="none" w:sz="0" w:space="0" w:color="auto"/>
        <w:right w:val="none" w:sz="0" w:space="0" w:color="auto"/>
      </w:divBdr>
    </w:div>
    <w:div w:id="984620947">
      <w:bodyDiv w:val="1"/>
      <w:marLeft w:val="0"/>
      <w:marRight w:val="0"/>
      <w:marTop w:val="0"/>
      <w:marBottom w:val="0"/>
      <w:divBdr>
        <w:top w:val="none" w:sz="0" w:space="0" w:color="auto"/>
        <w:left w:val="none" w:sz="0" w:space="0" w:color="auto"/>
        <w:bottom w:val="none" w:sz="0" w:space="0" w:color="auto"/>
        <w:right w:val="none" w:sz="0" w:space="0" w:color="auto"/>
      </w:divBdr>
    </w:div>
    <w:div w:id="994333802">
      <w:bodyDiv w:val="1"/>
      <w:marLeft w:val="0"/>
      <w:marRight w:val="0"/>
      <w:marTop w:val="0"/>
      <w:marBottom w:val="0"/>
      <w:divBdr>
        <w:top w:val="none" w:sz="0" w:space="0" w:color="auto"/>
        <w:left w:val="none" w:sz="0" w:space="0" w:color="auto"/>
        <w:bottom w:val="none" w:sz="0" w:space="0" w:color="auto"/>
        <w:right w:val="none" w:sz="0" w:space="0" w:color="auto"/>
      </w:divBdr>
    </w:div>
    <w:div w:id="994992293">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15808131">
      <w:bodyDiv w:val="1"/>
      <w:marLeft w:val="0"/>
      <w:marRight w:val="0"/>
      <w:marTop w:val="0"/>
      <w:marBottom w:val="0"/>
      <w:divBdr>
        <w:top w:val="none" w:sz="0" w:space="0" w:color="auto"/>
        <w:left w:val="none" w:sz="0" w:space="0" w:color="auto"/>
        <w:bottom w:val="none" w:sz="0" w:space="0" w:color="auto"/>
        <w:right w:val="none" w:sz="0" w:space="0" w:color="auto"/>
      </w:divBdr>
    </w:div>
    <w:div w:id="1031220199">
      <w:bodyDiv w:val="1"/>
      <w:marLeft w:val="0"/>
      <w:marRight w:val="0"/>
      <w:marTop w:val="0"/>
      <w:marBottom w:val="0"/>
      <w:divBdr>
        <w:top w:val="none" w:sz="0" w:space="0" w:color="auto"/>
        <w:left w:val="none" w:sz="0" w:space="0" w:color="auto"/>
        <w:bottom w:val="none" w:sz="0" w:space="0" w:color="auto"/>
        <w:right w:val="none" w:sz="0" w:space="0" w:color="auto"/>
      </w:divBdr>
    </w:div>
    <w:div w:id="1071006520">
      <w:bodyDiv w:val="1"/>
      <w:marLeft w:val="0"/>
      <w:marRight w:val="0"/>
      <w:marTop w:val="0"/>
      <w:marBottom w:val="0"/>
      <w:divBdr>
        <w:top w:val="none" w:sz="0" w:space="0" w:color="auto"/>
        <w:left w:val="none" w:sz="0" w:space="0" w:color="auto"/>
        <w:bottom w:val="none" w:sz="0" w:space="0" w:color="auto"/>
        <w:right w:val="none" w:sz="0" w:space="0" w:color="auto"/>
      </w:divBdr>
    </w:div>
    <w:div w:id="1104813104">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165321008">
      <w:bodyDiv w:val="1"/>
      <w:marLeft w:val="0"/>
      <w:marRight w:val="0"/>
      <w:marTop w:val="0"/>
      <w:marBottom w:val="0"/>
      <w:divBdr>
        <w:top w:val="none" w:sz="0" w:space="0" w:color="auto"/>
        <w:left w:val="none" w:sz="0" w:space="0" w:color="auto"/>
        <w:bottom w:val="none" w:sz="0" w:space="0" w:color="auto"/>
        <w:right w:val="none" w:sz="0" w:space="0" w:color="auto"/>
      </w:divBdr>
    </w:div>
    <w:div w:id="1180313185">
      <w:bodyDiv w:val="1"/>
      <w:marLeft w:val="0"/>
      <w:marRight w:val="0"/>
      <w:marTop w:val="0"/>
      <w:marBottom w:val="0"/>
      <w:divBdr>
        <w:top w:val="none" w:sz="0" w:space="0" w:color="auto"/>
        <w:left w:val="none" w:sz="0" w:space="0" w:color="auto"/>
        <w:bottom w:val="none" w:sz="0" w:space="0" w:color="auto"/>
        <w:right w:val="none" w:sz="0" w:space="0" w:color="auto"/>
      </w:divBdr>
    </w:div>
    <w:div w:id="1203666846">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289581297">
      <w:bodyDiv w:val="1"/>
      <w:marLeft w:val="0"/>
      <w:marRight w:val="0"/>
      <w:marTop w:val="0"/>
      <w:marBottom w:val="0"/>
      <w:divBdr>
        <w:top w:val="none" w:sz="0" w:space="0" w:color="auto"/>
        <w:left w:val="none" w:sz="0" w:space="0" w:color="auto"/>
        <w:bottom w:val="none" w:sz="0" w:space="0" w:color="auto"/>
        <w:right w:val="none" w:sz="0" w:space="0" w:color="auto"/>
      </w:divBdr>
    </w:div>
    <w:div w:id="1315137705">
      <w:bodyDiv w:val="1"/>
      <w:marLeft w:val="0"/>
      <w:marRight w:val="0"/>
      <w:marTop w:val="0"/>
      <w:marBottom w:val="0"/>
      <w:divBdr>
        <w:top w:val="none" w:sz="0" w:space="0" w:color="auto"/>
        <w:left w:val="none" w:sz="0" w:space="0" w:color="auto"/>
        <w:bottom w:val="none" w:sz="0" w:space="0" w:color="auto"/>
        <w:right w:val="none" w:sz="0" w:space="0" w:color="auto"/>
      </w:divBdr>
    </w:div>
    <w:div w:id="1407142045">
      <w:bodyDiv w:val="1"/>
      <w:marLeft w:val="0"/>
      <w:marRight w:val="0"/>
      <w:marTop w:val="0"/>
      <w:marBottom w:val="0"/>
      <w:divBdr>
        <w:top w:val="none" w:sz="0" w:space="0" w:color="auto"/>
        <w:left w:val="none" w:sz="0" w:space="0" w:color="auto"/>
        <w:bottom w:val="none" w:sz="0" w:space="0" w:color="auto"/>
        <w:right w:val="none" w:sz="0" w:space="0" w:color="auto"/>
      </w:divBdr>
    </w:div>
    <w:div w:id="1427386990">
      <w:bodyDiv w:val="1"/>
      <w:marLeft w:val="0"/>
      <w:marRight w:val="0"/>
      <w:marTop w:val="0"/>
      <w:marBottom w:val="0"/>
      <w:divBdr>
        <w:top w:val="none" w:sz="0" w:space="0" w:color="auto"/>
        <w:left w:val="none" w:sz="0" w:space="0" w:color="auto"/>
        <w:bottom w:val="none" w:sz="0" w:space="0" w:color="auto"/>
        <w:right w:val="none" w:sz="0" w:space="0" w:color="auto"/>
      </w:divBdr>
    </w:div>
    <w:div w:id="1443919855">
      <w:bodyDiv w:val="1"/>
      <w:marLeft w:val="0"/>
      <w:marRight w:val="0"/>
      <w:marTop w:val="0"/>
      <w:marBottom w:val="0"/>
      <w:divBdr>
        <w:top w:val="none" w:sz="0" w:space="0" w:color="auto"/>
        <w:left w:val="none" w:sz="0" w:space="0" w:color="auto"/>
        <w:bottom w:val="none" w:sz="0" w:space="0" w:color="auto"/>
        <w:right w:val="none" w:sz="0" w:space="0" w:color="auto"/>
      </w:divBdr>
    </w:div>
    <w:div w:id="1486312735">
      <w:bodyDiv w:val="1"/>
      <w:marLeft w:val="0"/>
      <w:marRight w:val="0"/>
      <w:marTop w:val="0"/>
      <w:marBottom w:val="0"/>
      <w:divBdr>
        <w:top w:val="none" w:sz="0" w:space="0" w:color="auto"/>
        <w:left w:val="none" w:sz="0" w:space="0" w:color="auto"/>
        <w:bottom w:val="none" w:sz="0" w:space="0" w:color="auto"/>
        <w:right w:val="none" w:sz="0" w:space="0" w:color="auto"/>
      </w:divBdr>
    </w:div>
    <w:div w:id="1521776668">
      <w:bodyDiv w:val="1"/>
      <w:marLeft w:val="0"/>
      <w:marRight w:val="0"/>
      <w:marTop w:val="0"/>
      <w:marBottom w:val="0"/>
      <w:divBdr>
        <w:top w:val="none" w:sz="0" w:space="0" w:color="auto"/>
        <w:left w:val="none" w:sz="0" w:space="0" w:color="auto"/>
        <w:bottom w:val="none" w:sz="0" w:space="0" w:color="auto"/>
        <w:right w:val="none" w:sz="0" w:space="0" w:color="auto"/>
      </w:divBdr>
    </w:div>
    <w:div w:id="1543713519">
      <w:bodyDiv w:val="1"/>
      <w:marLeft w:val="0"/>
      <w:marRight w:val="0"/>
      <w:marTop w:val="0"/>
      <w:marBottom w:val="0"/>
      <w:divBdr>
        <w:top w:val="none" w:sz="0" w:space="0" w:color="auto"/>
        <w:left w:val="none" w:sz="0" w:space="0" w:color="auto"/>
        <w:bottom w:val="none" w:sz="0" w:space="0" w:color="auto"/>
        <w:right w:val="none" w:sz="0" w:space="0" w:color="auto"/>
      </w:divBdr>
    </w:div>
    <w:div w:id="1588228702">
      <w:bodyDiv w:val="1"/>
      <w:marLeft w:val="0"/>
      <w:marRight w:val="0"/>
      <w:marTop w:val="0"/>
      <w:marBottom w:val="0"/>
      <w:divBdr>
        <w:top w:val="none" w:sz="0" w:space="0" w:color="auto"/>
        <w:left w:val="none" w:sz="0" w:space="0" w:color="auto"/>
        <w:bottom w:val="none" w:sz="0" w:space="0" w:color="auto"/>
        <w:right w:val="none" w:sz="0" w:space="0" w:color="auto"/>
      </w:divBdr>
    </w:div>
    <w:div w:id="1602185259">
      <w:bodyDiv w:val="1"/>
      <w:marLeft w:val="0"/>
      <w:marRight w:val="0"/>
      <w:marTop w:val="0"/>
      <w:marBottom w:val="0"/>
      <w:divBdr>
        <w:top w:val="none" w:sz="0" w:space="0" w:color="auto"/>
        <w:left w:val="none" w:sz="0" w:space="0" w:color="auto"/>
        <w:bottom w:val="none" w:sz="0" w:space="0" w:color="auto"/>
        <w:right w:val="none" w:sz="0" w:space="0" w:color="auto"/>
      </w:divBdr>
    </w:div>
    <w:div w:id="1643659720">
      <w:bodyDiv w:val="1"/>
      <w:marLeft w:val="0"/>
      <w:marRight w:val="0"/>
      <w:marTop w:val="0"/>
      <w:marBottom w:val="0"/>
      <w:divBdr>
        <w:top w:val="none" w:sz="0" w:space="0" w:color="auto"/>
        <w:left w:val="none" w:sz="0" w:space="0" w:color="auto"/>
        <w:bottom w:val="none" w:sz="0" w:space="0" w:color="auto"/>
        <w:right w:val="none" w:sz="0" w:space="0" w:color="auto"/>
      </w:divBdr>
    </w:div>
    <w:div w:id="1646349298">
      <w:bodyDiv w:val="1"/>
      <w:marLeft w:val="0"/>
      <w:marRight w:val="0"/>
      <w:marTop w:val="0"/>
      <w:marBottom w:val="0"/>
      <w:divBdr>
        <w:top w:val="none" w:sz="0" w:space="0" w:color="auto"/>
        <w:left w:val="none" w:sz="0" w:space="0" w:color="auto"/>
        <w:bottom w:val="none" w:sz="0" w:space="0" w:color="auto"/>
        <w:right w:val="none" w:sz="0" w:space="0" w:color="auto"/>
      </w:divBdr>
    </w:div>
    <w:div w:id="1667052161">
      <w:bodyDiv w:val="1"/>
      <w:marLeft w:val="0"/>
      <w:marRight w:val="0"/>
      <w:marTop w:val="0"/>
      <w:marBottom w:val="0"/>
      <w:divBdr>
        <w:top w:val="none" w:sz="0" w:space="0" w:color="auto"/>
        <w:left w:val="none" w:sz="0" w:space="0" w:color="auto"/>
        <w:bottom w:val="none" w:sz="0" w:space="0" w:color="auto"/>
        <w:right w:val="none" w:sz="0" w:space="0" w:color="auto"/>
      </w:divBdr>
    </w:div>
    <w:div w:id="1675646674">
      <w:bodyDiv w:val="1"/>
      <w:marLeft w:val="0"/>
      <w:marRight w:val="0"/>
      <w:marTop w:val="0"/>
      <w:marBottom w:val="0"/>
      <w:divBdr>
        <w:top w:val="none" w:sz="0" w:space="0" w:color="auto"/>
        <w:left w:val="none" w:sz="0" w:space="0" w:color="auto"/>
        <w:bottom w:val="none" w:sz="0" w:space="0" w:color="auto"/>
        <w:right w:val="none" w:sz="0" w:space="0" w:color="auto"/>
      </w:divBdr>
    </w:div>
    <w:div w:id="1692146565">
      <w:bodyDiv w:val="1"/>
      <w:marLeft w:val="0"/>
      <w:marRight w:val="0"/>
      <w:marTop w:val="0"/>
      <w:marBottom w:val="0"/>
      <w:divBdr>
        <w:top w:val="none" w:sz="0" w:space="0" w:color="auto"/>
        <w:left w:val="none" w:sz="0" w:space="0" w:color="auto"/>
        <w:bottom w:val="none" w:sz="0" w:space="0" w:color="auto"/>
        <w:right w:val="none" w:sz="0" w:space="0" w:color="auto"/>
      </w:divBdr>
    </w:div>
    <w:div w:id="1712723106">
      <w:bodyDiv w:val="1"/>
      <w:marLeft w:val="0"/>
      <w:marRight w:val="0"/>
      <w:marTop w:val="0"/>
      <w:marBottom w:val="0"/>
      <w:divBdr>
        <w:top w:val="none" w:sz="0" w:space="0" w:color="auto"/>
        <w:left w:val="none" w:sz="0" w:space="0" w:color="auto"/>
        <w:bottom w:val="none" w:sz="0" w:space="0" w:color="auto"/>
        <w:right w:val="none" w:sz="0" w:space="0" w:color="auto"/>
      </w:divBdr>
    </w:div>
    <w:div w:id="1762264118">
      <w:bodyDiv w:val="1"/>
      <w:marLeft w:val="0"/>
      <w:marRight w:val="0"/>
      <w:marTop w:val="0"/>
      <w:marBottom w:val="0"/>
      <w:divBdr>
        <w:top w:val="none" w:sz="0" w:space="0" w:color="auto"/>
        <w:left w:val="none" w:sz="0" w:space="0" w:color="auto"/>
        <w:bottom w:val="none" w:sz="0" w:space="0" w:color="auto"/>
        <w:right w:val="none" w:sz="0" w:space="0" w:color="auto"/>
      </w:divBdr>
    </w:div>
    <w:div w:id="1762333722">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850636876">
      <w:bodyDiv w:val="1"/>
      <w:marLeft w:val="0"/>
      <w:marRight w:val="0"/>
      <w:marTop w:val="0"/>
      <w:marBottom w:val="0"/>
      <w:divBdr>
        <w:top w:val="none" w:sz="0" w:space="0" w:color="auto"/>
        <w:left w:val="none" w:sz="0" w:space="0" w:color="auto"/>
        <w:bottom w:val="none" w:sz="0" w:space="0" w:color="auto"/>
        <w:right w:val="none" w:sz="0" w:space="0" w:color="auto"/>
      </w:divBdr>
    </w:div>
    <w:div w:id="1913851630">
      <w:bodyDiv w:val="1"/>
      <w:marLeft w:val="0"/>
      <w:marRight w:val="0"/>
      <w:marTop w:val="0"/>
      <w:marBottom w:val="0"/>
      <w:divBdr>
        <w:top w:val="none" w:sz="0" w:space="0" w:color="auto"/>
        <w:left w:val="none" w:sz="0" w:space="0" w:color="auto"/>
        <w:bottom w:val="none" w:sz="0" w:space="0" w:color="auto"/>
        <w:right w:val="none" w:sz="0" w:space="0" w:color="auto"/>
      </w:divBdr>
    </w:div>
    <w:div w:id="2003195023">
      <w:bodyDiv w:val="1"/>
      <w:marLeft w:val="0"/>
      <w:marRight w:val="0"/>
      <w:marTop w:val="0"/>
      <w:marBottom w:val="0"/>
      <w:divBdr>
        <w:top w:val="none" w:sz="0" w:space="0" w:color="auto"/>
        <w:left w:val="none" w:sz="0" w:space="0" w:color="auto"/>
        <w:bottom w:val="none" w:sz="0" w:space="0" w:color="auto"/>
        <w:right w:val="none" w:sz="0" w:space="0" w:color="auto"/>
      </w:divBdr>
    </w:div>
    <w:div w:id="2006130735">
      <w:bodyDiv w:val="1"/>
      <w:marLeft w:val="0"/>
      <w:marRight w:val="0"/>
      <w:marTop w:val="0"/>
      <w:marBottom w:val="0"/>
      <w:divBdr>
        <w:top w:val="none" w:sz="0" w:space="0" w:color="auto"/>
        <w:left w:val="none" w:sz="0" w:space="0" w:color="auto"/>
        <w:bottom w:val="none" w:sz="0" w:space="0" w:color="auto"/>
        <w:right w:val="none" w:sz="0" w:space="0" w:color="auto"/>
      </w:divBdr>
    </w:div>
    <w:div w:id="2016759958">
      <w:bodyDiv w:val="1"/>
      <w:marLeft w:val="0"/>
      <w:marRight w:val="0"/>
      <w:marTop w:val="0"/>
      <w:marBottom w:val="0"/>
      <w:divBdr>
        <w:top w:val="none" w:sz="0" w:space="0" w:color="auto"/>
        <w:left w:val="none" w:sz="0" w:space="0" w:color="auto"/>
        <w:bottom w:val="none" w:sz="0" w:space="0" w:color="auto"/>
        <w:right w:val="none" w:sz="0" w:space="0" w:color="auto"/>
      </w:divBdr>
    </w:div>
    <w:div w:id="2047293311">
      <w:bodyDiv w:val="1"/>
      <w:marLeft w:val="0"/>
      <w:marRight w:val="0"/>
      <w:marTop w:val="0"/>
      <w:marBottom w:val="0"/>
      <w:divBdr>
        <w:top w:val="none" w:sz="0" w:space="0" w:color="auto"/>
        <w:left w:val="none" w:sz="0" w:space="0" w:color="auto"/>
        <w:bottom w:val="none" w:sz="0" w:space="0" w:color="auto"/>
        <w:right w:val="none" w:sz="0" w:space="0" w:color="auto"/>
      </w:divBdr>
    </w:div>
    <w:div w:id="2114861583">
      <w:bodyDiv w:val="1"/>
      <w:marLeft w:val="0"/>
      <w:marRight w:val="0"/>
      <w:marTop w:val="0"/>
      <w:marBottom w:val="0"/>
      <w:divBdr>
        <w:top w:val="none" w:sz="0" w:space="0" w:color="auto"/>
        <w:left w:val="none" w:sz="0" w:space="0" w:color="auto"/>
        <w:bottom w:val="none" w:sz="0" w:space="0" w:color="auto"/>
        <w:right w:val="none" w:sz="0" w:space="0" w:color="auto"/>
      </w:divBdr>
    </w:div>
    <w:div w:id="21448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11D7B-F102-4213-8409-3B436350F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9</Pages>
  <Words>1510</Words>
  <Characters>8310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mrobalino</cp:lastModifiedBy>
  <cp:revision>141</cp:revision>
  <cp:lastPrinted>2015-11-13T17:57:00Z</cp:lastPrinted>
  <dcterms:created xsi:type="dcterms:W3CDTF">2015-11-15T10:18:00Z</dcterms:created>
  <dcterms:modified xsi:type="dcterms:W3CDTF">2015-12-01T17:48:00Z</dcterms:modified>
</cp:coreProperties>
</file>